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before="400"/>
      </w:pPr>
      <w:r>
        <w:rPr>
          <w:rFonts w:ascii="Arial" w:cs="Arial" w:eastAsia="Arial" w:hAnsi="Arial"/>
          <w:b/>
          <w:bCs/>
          <w:color w:val="1F5C8B"/>
          <w:sz w:val="36"/>
          <w:szCs w:val="36"/>
        </w:rPr>
        <w:t xml:space="preserve">RF Microneedling — Consultation Form</w:t>
      </w:r>
    </w:p>
    <w:p>
      <w:pPr>
        <w:spacing w:after="60" w:before="60"/>
      </w:pPr>
      <w:r>
        <w:rPr>
          <w:rFonts w:ascii="Arial" w:cs="Arial" w:eastAsia="Arial" w:hAnsi="Arial"/>
          <w:i/>
          <w:iCs/>
          <w:color w:val="555555"/>
          <w:sz w:val="20"/>
          <w:szCs w:val="20"/>
        </w:rPr>
        <w:t xml:space="preserve">Radiofrequency Microneedling (RFMN) combines fractional microneedling with bipolar radiofrequency energy to stimulate collagen remodelling at controlled dermal depths.</w:t>
      </w:r>
    </w:p>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CLIENT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First name</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Last name</w:t>
            </w:r>
          </w:p>
        </w:tc>
      </w:tr>
      <w:tr>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Date of birth</w:t>
            </w:r>
          </w:p>
        </w:tc>
        <w:tc>
          <w:tcPr>
            <w:tcW w:type="dxa" w:w="312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Phone number</w:t>
            </w:r>
          </w:p>
        </w:tc>
        <w:tc>
          <w:tcPr>
            <w:tcW w:type="dxa" w:w="312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Email address</w:t>
            </w:r>
          </w:p>
        </w:tc>
      </w:tr>
      <w:tr>
        <w:tc>
          <w:tcPr>
            <w:tcW w:type="dxa" w:w="312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312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312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Consultation date</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Treating therapist / clinician</w:t>
            </w:r>
          </w:p>
        </w:tc>
      </w:tr>
      <w:tr>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Referral / how did you hear about us?</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FITZPATRICK SKIN TYPE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D6E4F0" w:val="clear"/>
            <w:tcMar>
              <w:top w:type="dxa" w:w="120"/>
              <w:left w:type="dxa" w:w="160"/>
              <w:bottom w:type="dxa" w:w="120"/>
              <w:right w:type="dxa" w:w="160"/>
            </w:tcMar>
          </w:tcPr>
          <w:p>
            <w:r>
              <w:rPr>
                <w:rFonts w:ascii="Arial" w:cs="Arial" w:eastAsia="Arial" w:hAnsi="Arial"/>
                <w:color w:val="1A4D7A"/>
                <w:sz w:val="19"/>
                <w:szCs w:val="19"/>
              </w:rPr>
              <w:t xml:space="preserve">RF microneedling is generally safe across all Fitzpatrick types. Skin typing guides energy settings and cooling protocols. Darker types require conservative fluences and may need extended post-treatment care.</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4000"/>
        <w:gridCol w:w="520"/>
        <w:gridCol w:w="432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Type I — always burns, never tans</w:t>
            </w:r>
          </w:p>
        </w:tc>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3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Type IV — rarely burns, always tans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Type II — usually burns, sometimes tans</w:t>
            </w:r>
          </w:p>
        </w:tc>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3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Type V — brown skin, very rarely burns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Type III — sometimes burns, usually tans</w:t>
            </w:r>
          </w:p>
        </w:tc>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3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Type VI — deeply pigmented, never burns</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TREATMENT INDICATION(S) — PRIMARY CONCERNS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
        <w:gridCol w:w="4420"/>
        <w:gridCol w:w="260"/>
        <w:gridCol w:w="4420"/>
      </w:tblGrid>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Skin laxity / loss of firmness</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Fine lines and wrinkles</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Acne scarring (rolling / boxcar / icepick)</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Enlarged / open pores</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Stretch marks (striae)</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General skin texture improvement</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Hyperpigmentation / uneven skin tone</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Rosacea-associated skin thickening</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Neck and decolletage rejuvenation</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Body area treatment (specify below)</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Other concerns / treatment area details</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PREVIOUS AESTHETIC TREATMENTS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
        <w:gridCol w:w="4420"/>
        <w:gridCol w:w="260"/>
        <w:gridCol w:w="4420"/>
      </w:tblGrid>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No previous treatments</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Botox / muscle relaxants</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Dermal fillers</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Chemical peels</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Microneedling (manual / pen)</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Previous RF microneedling</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Laser resurfacing (ablative)</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Laser resurfacing (non-ablative)</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IPL / BBL</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Ultrasound (HIFU / Ultherapy)</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Microdermabrasion</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Plasma pen / fibroblast</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PRP / bio-stimulators</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Thread lifting</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Date of most recent aesthetic treatment</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Clinic / provider</w:t>
            </w:r>
          </w:p>
        </w:tc>
      </w:tr>
      <w:tr>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Any previous adverse reactions? Details:</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CLIENT GOALS AND EXPECTATIONS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What outcome is the client hoping to achieve?</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p>
      <w:pPr>
        <w:spacing w:after="40" w:before="200"/>
      </w:pPr>
      <w:r>
        <w:rPr>
          <w:sz w:val="20"/>
          <w:szCs w:val="20"/>
        </w:rPr>
        <w:t xml:space="preserve"/>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Client's realistic expectation of timeline for results?</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p>
      <w:pPr>
        <w:spacing w:after="60" w:before="60"/>
      </w:pPr>
      <w:r>
        <w:rPr>
          <w:rFonts w:ascii="Arial" w:cs="Arial" w:eastAsia="Arial" w:hAnsi="Arial"/>
          <w:color w:val="333333"/>
          <w:sz w:val="20"/>
          <w:szCs w:val="20"/>
        </w:rPr>
        <w:t xml:space="preserve">Number of sessions recommended: ____________________    Interval between sessions: ____________________</w:t>
      </w:r>
    </w:p>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PATCH TEST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Patch test date</w:t>
            </w:r>
          </w:p>
        </w:tc>
        <w:tc>
          <w:tcPr>
            <w:tcW w:type="dxa" w:w="234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Area tested</w:t>
            </w:r>
          </w:p>
        </w:tc>
        <w:tc>
          <w:tcPr>
            <w:tcW w:type="dxa" w:w="234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Depth (mm)</w:t>
            </w:r>
          </w:p>
        </w:tc>
        <w:tc>
          <w:tcPr>
            <w:tcW w:type="dxa" w:w="234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RF power (%)</w:t>
            </w:r>
          </w:p>
        </w:tc>
      </w:tr>
      <w:tr>
        <w:tc>
          <w:tcPr>
            <w:tcW w:type="dxa" w:w="234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234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234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234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No reaction at 24 hours — cleared to treat</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Mild erythema / oedema — monitor and adjust parameters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Adverse reaction — do not treat without clinical review</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Patch test notes</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r>
        <w:br w:type="page"/>
      </w:r>
    </w:p>
    <w:p>
      <w:pPr>
        <w:pStyle w:val="Heading1"/>
        <w:spacing w:after="200" w:before="400"/>
      </w:pPr>
      <w:r>
        <w:rPr>
          <w:rFonts w:ascii="Arial" w:cs="Arial" w:eastAsia="Arial" w:hAnsi="Arial"/>
          <w:b/>
          <w:bCs/>
          <w:color w:val="1F5C8B"/>
          <w:sz w:val="36"/>
          <w:szCs w:val="36"/>
        </w:rPr>
        <w:t xml:space="preserve">RF Microneedling — Pre-Procedure Checklist</w:t>
      </w:r>
    </w:p>
    <w:p>
      <w:pPr>
        <w:spacing w:after="60" w:before="60"/>
      </w:pPr>
      <w:r>
        <w:rPr>
          <w:rFonts w:ascii="Arial" w:cs="Arial" w:eastAsia="Arial" w:hAnsi="Arial"/>
          <w:i/>
          <w:iCs/>
          <w:color w:val="555555"/>
          <w:sz w:val="20"/>
          <w:szCs w:val="20"/>
        </w:rPr>
        <w:t xml:space="preserve">Complete this checklist before every session. Items marked with * are absolute contraindications — treatment must not proceed if present.</w:t>
      </w:r>
    </w:p>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PRE-TREATMENT SKIN PREPARATION — 2 WEEKS BEFORE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D6E4F0" w:val="clear"/>
            <w:tcMar>
              <w:top w:type="dxa" w:w="120"/>
              <w:left w:type="dxa" w:w="160"/>
              <w:bottom w:type="dxa" w:w="120"/>
              <w:right w:type="dxa" w:w="160"/>
            </w:tcMar>
          </w:tcPr>
          <w:p>
            <w:r>
              <w:rPr>
                <w:rFonts w:ascii="Arial" w:cs="Arial" w:eastAsia="Arial" w:hAnsi="Arial"/>
                <w:color w:val="1A4D7A"/>
                <w:sz w:val="19"/>
                <w:szCs w:val="19"/>
              </w:rPr>
              <w:t xml:space="preserve">Confirm the client has followed preparation advice provided at consultation. Items below are active contraindications at time of treatment.</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Discontinued tretinoin / retinoids at least 5–7 days before treatment</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Discontinued AHAs, BHAs, benzoyl peroxide at least 3–5 days before treatment</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Avoided sun exposure and not sunburned in past 2 weeks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Not used self-tan or spray tan in past 2 weeks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Avoided waxing, laser hair removal, or electrolysis to treatment area in past 2 weeks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Avoided skin needling / microneedling / dermaplaning in past 4 weeks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Avoided injectables (Botox / fillers) in treatment area in past 2 weeks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Avoided chemical peel or laser treatments in past 4 weeks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Completed a course of antibiotics at least 1 week prior (if applicable)</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Stopped isotretinoin at least 6 months before (confirmed — see medical history)</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SAME-DAY PREPARATION — CONFIRM ON DAY OF TREATMENT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Arrived with clean skin — no makeup, moisturiser, SPF, or topical products on treatment area</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Has not consumed alcohol in past 24 hours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Is well hydrated (has drunk water today)</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Has eaten a light meal within past 3–4 hours (to prevent vasovagal response)</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Has not taken blood-thinning medications today (aspirin, ibuprofen, fish oil) unless medically required</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Numbing cream applied (if using) — start time: ____________ / removal time: ____________</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Consent form signed and filed</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Patch test reviewed and satisfactory</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Pregnancy test performed where clinically indicated</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Pre-treatment photographs taken</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ABSOLUTE CONTRAINDICATIONS — * DO NOT TREAT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FDE8E8" w:val="clear"/>
            <w:tcMar>
              <w:top w:type="dxa" w:w="120"/>
              <w:left w:type="dxa" w:w="160"/>
              <w:bottom w:type="dxa" w:w="120"/>
              <w:right w:type="dxa" w:w="160"/>
            </w:tcMar>
          </w:tcPr>
          <w:p>
            <w:r>
              <w:rPr>
                <w:rFonts w:ascii="Arial" w:cs="Arial" w:eastAsia="Arial" w:hAnsi="Arial"/>
                <w:color w:val="8B1A1A"/>
                <w:sz w:val="19"/>
                <w:szCs w:val="19"/>
              </w:rPr>
              <w:t xml:space="preserve">If any item below is confirmed, treatment must not proceed. Defer and document.</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Active skin infection, cold sore, or herpes simplex outbreak in treatment area</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Open wounds, broken skin, active acne pustules or papules across treatment area</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Confirmed or suspected pregnancy</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Implanted electronic device (pacemaker, neurostimulator, cochlear implant)</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Metal implants or plates in or near treatment area</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Current use of isotretinoin / Roaccutane (must be 6+ months post-course)</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Active cancer or currently undergoing chemotherapy or radiotherapy</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Blood-thinning disorders or on anticoagulation therapy without medical clearance</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Keloid scarring history in treatment area</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Uncontrolled diabetes with poor wound healing</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Active autoimmune flare affecting the skin</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TREATMENT PARAMETERS — SESSION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Session number</w:t>
            </w:r>
          </w:p>
        </w:tc>
        <w:tc>
          <w:tcPr>
            <w:tcW w:type="dxa" w:w="312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Session date</w:t>
            </w:r>
          </w:p>
        </w:tc>
        <w:tc>
          <w:tcPr>
            <w:tcW w:type="dxa" w:w="312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Next session date</w:t>
            </w:r>
          </w:p>
        </w:tc>
      </w:tr>
      <w:tr>
        <w:tc>
          <w:tcPr>
            <w:tcW w:type="dxa" w:w="312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312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312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A4D7A"/>
                <w:sz w:val="18"/>
                <w:szCs w:val="18"/>
              </w:rPr>
              <w:t xml:space="preserve">Needle depth (mm)</w:t>
            </w:r>
          </w:p>
        </w:tc>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A4D7A"/>
                <w:sz w:val="18"/>
                <w:szCs w:val="18"/>
              </w:rPr>
              <w:t xml:space="preserve">RF energy (%)</w:t>
            </w:r>
          </w:p>
        </w:tc>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A4D7A"/>
                <w:sz w:val="18"/>
                <w:szCs w:val="18"/>
              </w:rPr>
              <w:t xml:space="preserve">Pulse duration (ms)</w:t>
            </w:r>
          </w:p>
        </w:tc>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A4D7A"/>
                <w:sz w:val="18"/>
                <w:szCs w:val="18"/>
              </w:rPr>
              <w:t xml:space="preserve">Handpiece / tip type</w:t>
            </w:r>
          </w:p>
        </w:tc>
      </w:tr>
      <w:tr>
        <w:tc>
          <w:tcPr>
            <w:tcW w:type="dxa" w:w="234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rFonts w:ascii="Arial" w:cs="Arial" w:eastAsia="Arial" w:hAnsi="Arial"/>
                <w:sz w:val="20"/>
                <w:szCs w:val="20"/>
              </w:rPr>
              <w:t xml:space="preserve"/>
            </w:r>
          </w:p>
        </w:tc>
        <w:tc>
          <w:tcPr>
            <w:tcW w:type="dxa" w:w="234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rFonts w:ascii="Arial" w:cs="Arial" w:eastAsia="Arial" w:hAnsi="Arial"/>
                <w:sz w:val="20"/>
                <w:szCs w:val="20"/>
              </w:rPr>
              <w:t xml:space="preserve"/>
            </w:r>
          </w:p>
        </w:tc>
        <w:tc>
          <w:tcPr>
            <w:tcW w:type="dxa" w:w="234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rFonts w:ascii="Arial" w:cs="Arial" w:eastAsia="Arial" w:hAnsi="Arial"/>
                <w:sz w:val="20"/>
                <w:szCs w:val="20"/>
              </w:rPr>
              <w:t xml:space="preserve"/>
            </w:r>
          </w:p>
        </w:tc>
        <w:tc>
          <w:tcPr>
            <w:tcW w:type="dxa" w:w="234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rFonts w:ascii="Arial" w:cs="Arial" w:eastAsia="Arial" w:hAnsi="Arial"/>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Number of passes per zone</w:t>
            </w:r>
          </w:p>
        </w:tc>
        <w:tc>
          <w:tcPr>
            <w:tcW w:type="dxa" w:w="312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Needle type (insulated / non-insulated)</w:t>
            </w:r>
          </w:p>
        </w:tc>
        <w:tc>
          <w:tcPr>
            <w:tcW w:type="dxa" w:w="312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Cooling method used</w:t>
            </w:r>
          </w:p>
        </w:tc>
      </w:tr>
      <w:tr>
        <w:tc>
          <w:tcPr>
            <w:tcW w:type="dxa" w:w="312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312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312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Clinician observations / client response during treatment</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p>
      <w:pPr>
        <w:spacing w:before="200"/>
      </w:pPr>
      <w:r>
        <w:rPr>
          <w:sz w:val="20"/>
          <w:szCs w:val="20"/>
        </w:rPr>
        <w:t xml:space="preserve"/>
      </w:r>
    </w:p>
    <w:p>
      <w:r>
        <w:br w:type="page"/>
      </w:r>
    </w:p>
    <w:p>
      <w:pPr>
        <w:pStyle w:val="Heading1"/>
        <w:spacing w:after="200" w:before="400"/>
      </w:pPr>
      <w:r>
        <w:rPr>
          <w:rFonts w:ascii="Arial" w:cs="Arial" w:eastAsia="Arial" w:hAnsi="Arial"/>
          <w:b/>
          <w:bCs/>
          <w:color w:val="1F5C8B"/>
          <w:sz w:val="36"/>
          <w:szCs w:val="36"/>
        </w:rPr>
        <w:t xml:space="preserve">RF Microneedling — Medical History</w:t>
      </w:r>
    </w:p>
    <w:p>
      <w:pPr>
        <w:spacing w:after="60" w:before="60"/>
      </w:pPr>
      <w:r>
        <w:rPr>
          <w:rFonts w:ascii="Arial" w:cs="Arial" w:eastAsia="Arial" w:hAnsi="Arial"/>
          <w:i/>
          <w:iCs/>
          <w:color w:val="555555"/>
          <w:sz w:val="20"/>
          <w:szCs w:val="20"/>
        </w:rPr>
        <w:t xml:space="preserve">This section must be completed fully and honestly by the client. Conditions disclosed may affect treatment eligibility, parameters, or require GP clearance before proceeding.</w:t>
      </w:r>
    </w:p>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GENERAL HEALTH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GP / doctor name</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GP practice / clinic</w:t>
            </w:r>
          </w:p>
        </w:tc>
      </w:tr>
      <w:tr>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Current medications (include topicals, supplements, herbal remedies)</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p>
      <w:pPr>
        <w:spacing w:after="40" w:before="200"/>
      </w:pPr>
      <w:r>
        <w:rPr>
          <w:sz w:val="20"/>
          <w:szCs w:val="20"/>
        </w:rPr>
        <w:t xml:space="preserve"/>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Known allergies (medications, topical ingredients, metals, latex)</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p>
      <w:pPr>
        <w:spacing w:after="40" w:before="200"/>
      </w:pPr>
      <w:r>
        <w:rPr>
          <w:sz w:val="20"/>
          <w:szCs w:val="20"/>
        </w:rPr>
        <w:t xml:space="preserve"/>
      </w:r>
    </w:p>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ABSOLUTE CONTRAINDICATIONS — TREATMENT CANNOT PROCEED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FDE8E8" w:val="clear"/>
            <w:tcMar>
              <w:top w:type="dxa" w:w="120"/>
              <w:left w:type="dxa" w:w="160"/>
              <w:bottom w:type="dxa" w:w="120"/>
              <w:right w:type="dxa" w:w="160"/>
            </w:tcMar>
          </w:tcPr>
          <w:p>
            <w:r>
              <w:rPr>
                <w:rFonts w:ascii="Arial" w:cs="Arial" w:eastAsia="Arial" w:hAnsi="Arial"/>
                <w:color w:val="8B1A1A"/>
                <w:sz w:val="19"/>
                <w:szCs w:val="19"/>
              </w:rPr>
              <w:t xml:space="preserve">The following conditions are absolute contraindications. Treatment must not proceed if any are confirmed.</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
        <w:gridCol w:w="4420"/>
        <w:gridCol w:w="260"/>
        <w:gridCol w:w="4420"/>
      </w:tblGrid>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Pregnancy or currently breastfeeding</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Suspected / unconfirmed pregnancy</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Implanted cardiac pacemaker or defibrillator</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Any implanted electronic neurostimulator</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Metal implants / plates in or near treatment area</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Current use of isotretinoin (Roaccutane)</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Active skin infection, cold sore, or herpes outbreak on area</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Active cancer / currently on chemotherapy</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Keloid scarring history on treatment area</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Uncontrolled epilepsy</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Blood clotting disorder (unmanaged)</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Severe uncontrolled diabetes</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RELATIVE CONTRAINDICATIONS — MAY REQUIRE GP CLEARANCE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FFF9E6" w:val="clear"/>
            <w:tcMar>
              <w:top w:type="dxa" w:w="120"/>
              <w:left w:type="dxa" w:w="160"/>
              <w:bottom w:type="dxa" w:w="120"/>
              <w:right w:type="dxa" w:w="160"/>
            </w:tcMar>
          </w:tcPr>
          <w:p>
            <w:r>
              <w:rPr>
                <w:rFonts w:ascii="Arial" w:cs="Arial" w:eastAsia="Arial" w:hAnsi="Arial"/>
                <w:color w:val="7A5700"/>
                <w:sz w:val="19"/>
                <w:szCs w:val="19"/>
              </w:rPr>
              <w:t xml:space="preserve">The conditions below may permit treatment with precautions, adjusted parameters, or written GP approval. Assess individually.</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
        <w:gridCol w:w="4420"/>
        <w:gridCol w:w="260"/>
        <w:gridCol w:w="4420"/>
      </w:tblGrid>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Type 1 or Type 2 diabetes (managed)</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Autoimmune condition (RA, lupus, MS, etc.)</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Thyroid disorder (hyper or hypothyroid)</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PCOS / hormonal skin conditions</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Rosacea / vascular skin conditions</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Eczema / psoriasis on treatment area</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Herpes simplex history — face or body</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Immunosuppressant medication</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Anticoagulant therapy (warfarin, heparin)</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Scleroderma / connective tissue disease</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History of skin cancer (not current)</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Previous radiation to treatment area</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Bleeding disorders (managed)</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Hypertrophic scarring history</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Active inflammatory acne on area</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Significant hyperpigmentation tendency</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SKIN AND WOUND HEALING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
        <w:gridCol w:w="4420"/>
        <w:gridCol w:w="260"/>
        <w:gridCol w:w="4420"/>
      </w:tblGrid>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History of hyperpigmentation (PIH)</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History of hypopigmentation</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Melasma or chloasma</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Easy bruising / slow healing</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Sensitive or reactive skin</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Previous scarring or burns on area</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Eczema or psoriasis (general)</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Raised moles or lesions on treatment area</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Dermal fillers in treatment area (past 2 weeks)</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Botox in treatment area (past 2 weeks)</w:t>
            </w:r>
          </w:p>
        </w:tc>
      </w:tr>
      <w:tr>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Tattoos on or near treatment area</w:t>
            </w:r>
          </w:p>
        </w:tc>
        <w:tc>
          <w:tcPr>
            <w:tcW w:type="dxa" w:w="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4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History of cold sores (HSV-1)</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Additional skin history notes</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p>
      <w:pPr>
        <w:spacing w:after="40" w:before="200"/>
      </w:pPr>
      <w:r>
        <w:rPr>
          <w:sz w:val="20"/>
          <w:szCs w:val="20"/>
        </w:rPr>
        <w:t xml:space="preserve"/>
      </w:r>
    </w:p>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HORMONAL AND REPRODUCTIVE HEALTH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A4D7A"/>
                <w:sz w:val="18"/>
                <w:szCs w:val="18"/>
              </w:rPr>
              <w:t xml:space="preserve">Contraception / hormones</w:t>
            </w:r>
          </w:p>
        </w:tc>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A4D7A"/>
                <w:sz w:val="18"/>
                <w:szCs w:val="18"/>
              </w:rPr>
              <w:t xml:space="preserve">Menopause status</w:t>
            </w:r>
          </w:p>
        </w:tc>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A4D7A"/>
                <w:sz w:val="18"/>
                <w:szCs w:val="18"/>
              </w:rPr>
              <w:t xml:space="preserve">PCOS diagnosis</w:t>
            </w:r>
          </w:p>
        </w:tc>
      </w:tr>
      <w:tr>
        <w:tc>
          <w:tcPr>
            <w:tcW w:type="dxa" w:w="312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rFonts w:ascii="Arial" w:cs="Arial" w:eastAsia="Arial" w:hAnsi="Arial"/>
                <w:sz w:val="20"/>
                <w:szCs w:val="20"/>
              </w:rPr>
              <w:t xml:space="preserve"/>
            </w:r>
          </w:p>
        </w:tc>
        <w:tc>
          <w:tcPr>
            <w:tcW w:type="dxa" w:w="312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rFonts w:ascii="Arial" w:cs="Arial" w:eastAsia="Arial" w:hAnsi="Arial"/>
                <w:sz w:val="20"/>
                <w:szCs w:val="20"/>
              </w:rPr>
              <w:t xml:space="preserve"/>
            </w:r>
          </w:p>
        </w:tc>
        <w:tc>
          <w:tcPr>
            <w:tcW w:type="dxa" w:w="312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rFonts w:ascii="Arial" w:cs="Arial" w:eastAsia="Arial" w:hAnsi="Arial"/>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Date isotretinoin course completed (if applicable — must be 6+ months)</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PAIN TOLERANCE AND COMFORT</w:t>
      </w:r>
    </w:p>
    <w:p>
      <w:pPr>
        <w:spacing w:after="60" w:before="60"/>
      </w:pPr>
      <w:r>
        <w:rPr>
          <w:rFonts w:ascii="Arial" w:cs="Arial" w:eastAsia="Arial" w:hAnsi="Arial"/>
          <w:sz w:val="20"/>
          <w:szCs w:val="20"/>
        </w:rPr>
        <w:t xml:space="preserve">Client-rated pain tolerance (1 = very low, 10 = very high):</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936"/>
        <w:gridCol w:w="936"/>
        <w:gridCol w:w="936"/>
        <w:gridCol w:w="936"/>
        <w:gridCol w:w="936"/>
        <w:gridCol w:w="936"/>
        <w:gridCol w:w="936"/>
        <w:gridCol w:w="936"/>
        <w:gridCol w:w="936"/>
      </w:tblGrid>
      <w:tr>
        <w:tc>
          <w:tcPr>
            <w:tcW w:type="dxa" w:w="936"/>
            <w:tcBorders>
              <w:top w:val="single" w:color="CCCCCC" w:sz="1"/>
              <w:left w:val="single" w:color="CCCCCC" w:sz="1"/>
              <w:bottom w:val="single" w:color="CCCCCC" w:sz="1"/>
              <w:right w:val="single" w:color="CCCCCC" w:sz="1"/>
            </w:tcBorders>
            <w:tcMar>
              <w:top w:type="dxa" w:w="80"/>
              <w:left w:type="dxa" w:w="0"/>
              <w:bottom w:type="dxa" w:w="80"/>
              <w:right w:type="dxa" w:w="0"/>
            </w:tcMar>
          </w:tcPr>
          <w:p>
            <w:pPr>
              <w:jc w:val="center"/>
            </w:pPr>
            <w:r>
              <w:rPr>
                <w:rFonts w:ascii="Arial" w:cs="Arial" w:eastAsia="Arial" w:hAnsi="Arial"/>
                <w:sz w:val="20"/>
                <w:szCs w:val="20"/>
              </w:rPr>
              <w:t xml:space="preserve">1</w:t>
            </w:r>
          </w:p>
        </w:tc>
        <w:tc>
          <w:tcPr>
            <w:tcW w:type="dxa" w:w="936"/>
            <w:tcBorders>
              <w:top w:val="single" w:color="CCCCCC" w:sz="1"/>
              <w:left w:val="single" w:color="CCCCCC" w:sz="1"/>
              <w:bottom w:val="single" w:color="CCCCCC" w:sz="1"/>
              <w:right w:val="single" w:color="CCCCCC" w:sz="1"/>
            </w:tcBorders>
            <w:tcMar>
              <w:top w:type="dxa" w:w="80"/>
              <w:left w:type="dxa" w:w="0"/>
              <w:bottom w:type="dxa" w:w="80"/>
              <w:right w:type="dxa" w:w="0"/>
            </w:tcMar>
          </w:tcPr>
          <w:p>
            <w:pPr>
              <w:jc w:val="center"/>
            </w:pPr>
            <w:r>
              <w:rPr>
                <w:rFonts w:ascii="Arial" w:cs="Arial" w:eastAsia="Arial" w:hAnsi="Arial"/>
                <w:sz w:val="20"/>
                <w:szCs w:val="20"/>
              </w:rPr>
              <w:t xml:space="preserve">2</w:t>
            </w:r>
          </w:p>
        </w:tc>
        <w:tc>
          <w:tcPr>
            <w:tcW w:type="dxa" w:w="936"/>
            <w:tcBorders>
              <w:top w:val="single" w:color="CCCCCC" w:sz="1"/>
              <w:left w:val="single" w:color="CCCCCC" w:sz="1"/>
              <w:bottom w:val="single" w:color="CCCCCC" w:sz="1"/>
              <w:right w:val="single" w:color="CCCCCC" w:sz="1"/>
            </w:tcBorders>
            <w:tcMar>
              <w:top w:type="dxa" w:w="80"/>
              <w:left w:type="dxa" w:w="0"/>
              <w:bottom w:type="dxa" w:w="80"/>
              <w:right w:type="dxa" w:w="0"/>
            </w:tcMar>
          </w:tcPr>
          <w:p>
            <w:pPr>
              <w:jc w:val="center"/>
            </w:pPr>
            <w:r>
              <w:rPr>
                <w:rFonts w:ascii="Arial" w:cs="Arial" w:eastAsia="Arial" w:hAnsi="Arial"/>
                <w:sz w:val="20"/>
                <w:szCs w:val="20"/>
              </w:rPr>
              <w:t xml:space="preserve">3</w:t>
            </w:r>
          </w:p>
        </w:tc>
        <w:tc>
          <w:tcPr>
            <w:tcW w:type="dxa" w:w="936"/>
            <w:tcBorders>
              <w:top w:val="single" w:color="CCCCCC" w:sz="1"/>
              <w:left w:val="single" w:color="CCCCCC" w:sz="1"/>
              <w:bottom w:val="single" w:color="CCCCCC" w:sz="1"/>
              <w:right w:val="single" w:color="CCCCCC" w:sz="1"/>
            </w:tcBorders>
            <w:tcMar>
              <w:top w:type="dxa" w:w="80"/>
              <w:left w:type="dxa" w:w="0"/>
              <w:bottom w:type="dxa" w:w="80"/>
              <w:right w:type="dxa" w:w="0"/>
            </w:tcMar>
          </w:tcPr>
          <w:p>
            <w:pPr>
              <w:jc w:val="center"/>
            </w:pPr>
            <w:r>
              <w:rPr>
                <w:rFonts w:ascii="Arial" w:cs="Arial" w:eastAsia="Arial" w:hAnsi="Arial"/>
                <w:sz w:val="20"/>
                <w:szCs w:val="20"/>
              </w:rPr>
              <w:t xml:space="preserve">4</w:t>
            </w:r>
          </w:p>
        </w:tc>
        <w:tc>
          <w:tcPr>
            <w:tcW w:type="dxa" w:w="936"/>
            <w:tcBorders>
              <w:top w:val="single" w:color="CCCCCC" w:sz="1"/>
              <w:left w:val="single" w:color="CCCCCC" w:sz="1"/>
              <w:bottom w:val="single" w:color="CCCCCC" w:sz="1"/>
              <w:right w:val="single" w:color="CCCCCC" w:sz="1"/>
            </w:tcBorders>
            <w:tcMar>
              <w:top w:type="dxa" w:w="80"/>
              <w:left w:type="dxa" w:w="0"/>
              <w:bottom w:type="dxa" w:w="80"/>
              <w:right w:type="dxa" w:w="0"/>
            </w:tcMar>
          </w:tcPr>
          <w:p>
            <w:pPr>
              <w:jc w:val="center"/>
            </w:pPr>
            <w:r>
              <w:rPr>
                <w:rFonts w:ascii="Arial" w:cs="Arial" w:eastAsia="Arial" w:hAnsi="Arial"/>
                <w:sz w:val="20"/>
                <w:szCs w:val="20"/>
              </w:rPr>
              <w:t xml:space="preserve">5</w:t>
            </w:r>
          </w:p>
        </w:tc>
        <w:tc>
          <w:tcPr>
            <w:tcW w:type="dxa" w:w="936"/>
            <w:tcBorders>
              <w:top w:val="single" w:color="CCCCCC" w:sz="1"/>
              <w:left w:val="single" w:color="CCCCCC" w:sz="1"/>
              <w:bottom w:val="single" w:color="CCCCCC" w:sz="1"/>
              <w:right w:val="single" w:color="CCCCCC" w:sz="1"/>
            </w:tcBorders>
            <w:tcMar>
              <w:top w:type="dxa" w:w="80"/>
              <w:left w:type="dxa" w:w="0"/>
              <w:bottom w:type="dxa" w:w="80"/>
              <w:right w:type="dxa" w:w="0"/>
            </w:tcMar>
          </w:tcPr>
          <w:p>
            <w:pPr>
              <w:jc w:val="center"/>
            </w:pPr>
            <w:r>
              <w:rPr>
                <w:rFonts w:ascii="Arial" w:cs="Arial" w:eastAsia="Arial" w:hAnsi="Arial"/>
                <w:sz w:val="20"/>
                <w:szCs w:val="20"/>
              </w:rPr>
              <w:t xml:space="preserve">6</w:t>
            </w:r>
          </w:p>
        </w:tc>
        <w:tc>
          <w:tcPr>
            <w:tcW w:type="dxa" w:w="936"/>
            <w:tcBorders>
              <w:top w:val="single" w:color="CCCCCC" w:sz="1"/>
              <w:left w:val="single" w:color="CCCCCC" w:sz="1"/>
              <w:bottom w:val="single" w:color="CCCCCC" w:sz="1"/>
              <w:right w:val="single" w:color="CCCCCC" w:sz="1"/>
            </w:tcBorders>
            <w:tcMar>
              <w:top w:type="dxa" w:w="80"/>
              <w:left w:type="dxa" w:w="0"/>
              <w:bottom w:type="dxa" w:w="80"/>
              <w:right w:type="dxa" w:w="0"/>
            </w:tcMar>
          </w:tcPr>
          <w:p>
            <w:pPr>
              <w:jc w:val="center"/>
            </w:pPr>
            <w:r>
              <w:rPr>
                <w:rFonts w:ascii="Arial" w:cs="Arial" w:eastAsia="Arial" w:hAnsi="Arial"/>
                <w:sz w:val="20"/>
                <w:szCs w:val="20"/>
              </w:rPr>
              <w:t xml:space="preserve">7</w:t>
            </w:r>
          </w:p>
        </w:tc>
        <w:tc>
          <w:tcPr>
            <w:tcW w:type="dxa" w:w="936"/>
            <w:tcBorders>
              <w:top w:val="single" w:color="CCCCCC" w:sz="1"/>
              <w:left w:val="single" w:color="CCCCCC" w:sz="1"/>
              <w:bottom w:val="single" w:color="CCCCCC" w:sz="1"/>
              <w:right w:val="single" w:color="CCCCCC" w:sz="1"/>
            </w:tcBorders>
            <w:tcMar>
              <w:top w:type="dxa" w:w="80"/>
              <w:left w:type="dxa" w:w="0"/>
              <w:bottom w:type="dxa" w:w="80"/>
              <w:right w:type="dxa" w:w="0"/>
            </w:tcMar>
          </w:tcPr>
          <w:p>
            <w:pPr>
              <w:jc w:val="center"/>
            </w:pPr>
            <w:r>
              <w:rPr>
                <w:rFonts w:ascii="Arial" w:cs="Arial" w:eastAsia="Arial" w:hAnsi="Arial"/>
                <w:sz w:val="20"/>
                <w:szCs w:val="20"/>
              </w:rPr>
              <w:t xml:space="preserve">8</w:t>
            </w:r>
          </w:p>
        </w:tc>
        <w:tc>
          <w:tcPr>
            <w:tcW w:type="dxa" w:w="936"/>
            <w:tcBorders>
              <w:top w:val="single" w:color="CCCCCC" w:sz="1"/>
              <w:left w:val="single" w:color="CCCCCC" w:sz="1"/>
              <w:bottom w:val="single" w:color="CCCCCC" w:sz="1"/>
              <w:right w:val="single" w:color="CCCCCC" w:sz="1"/>
            </w:tcBorders>
            <w:tcMar>
              <w:top w:type="dxa" w:w="80"/>
              <w:left w:type="dxa" w:w="0"/>
              <w:bottom w:type="dxa" w:w="80"/>
              <w:right w:type="dxa" w:w="0"/>
            </w:tcMar>
          </w:tcPr>
          <w:p>
            <w:pPr>
              <w:jc w:val="center"/>
            </w:pPr>
            <w:r>
              <w:rPr>
                <w:rFonts w:ascii="Arial" w:cs="Arial" w:eastAsia="Arial" w:hAnsi="Arial"/>
                <w:sz w:val="20"/>
                <w:szCs w:val="20"/>
              </w:rPr>
              <w:t xml:space="preserve">9</w:t>
            </w:r>
          </w:p>
        </w:tc>
        <w:tc>
          <w:tcPr>
            <w:tcW w:type="dxa" w:w="936"/>
            <w:tcBorders>
              <w:top w:val="single" w:color="CCCCCC" w:sz="1"/>
              <w:left w:val="single" w:color="CCCCCC" w:sz="1"/>
              <w:bottom w:val="single" w:color="CCCCCC" w:sz="1"/>
              <w:right w:val="single" w:color="CCCCCC" w:sz="1"/>
            </w:tcBorders>
            <w:tcMar>
              <w:top w:type="dxa" w:w="80"/>
              <w:left w:type="dxa" w:w="0"/>
              <w:bottom w:type="dxa" w:w="80"/>
              <w:right w:type="dxa" w:w="0"/>
            </w:tcMar>
          </w:tcPr>
          <w:p>
            <w:pPr>
              <w:jc w:val="center"/>
            </w:pPr>
            <w:r>
              <w:rPr>
                <w:rFonts w:ascii="Arial" w:cs="Arial" w:eastAsia="Arial" w:hAnsi="Arial"/>
                <w:sz w:val="20"/>
                <w:szCs w:val="20"/>
              </w:rPr>
              <w:t xml:space="preserve">10</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4000"/>
        <w:gridCol w:w="520"/>
        <w:gridCol w:w="432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Topical numbing cream — yes please</w:t>
            </w:r>
          </w:p>
        </w:tc>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43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No numbing required</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Any anaesthetic allergies or sensitivities?</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r>
        <w:br w:type="page"/>
      </w:r>
    </w:p>
    <w:p>
      <w:pPr>
        <w:pStyle w:val="Heading1"/>
        <w:spacing w:after="200" w:before="400"/>
      </w:pPr>
      <w:r>
        <w:rPr>
          <w:rFonts w:ascii="Arial" w:cs="Arial" w:eastAsia="Arial" w:hAnsi="Arial"/>
          <w:b/>
          <w:bCs/>
          <w:color w:val="1F5C8B"/>
          <w:sz w:val="36"/>
          <w:szCs w:val="36"/>
        </w:rPr>
        <w:t xml:space="preserve">RF Microneedling — Informed Consent</w:t>
      </w:r>
    </w:p>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ABOUT THE PROCEDURE</w:t>
      </w:r>
    </w:p>
    <w:p>
      <w:pPr>
        <w:spacing w:after="60" w:before="60"/>
      </w:pPr>
      <w:r>
        <w:rPr>
          <w:rFonts w:ascii="Arial" w:cs="Arial" w:eastAsia="Arial" w:hAnsi="Arial"/>
          <w:sz w:val="20"/>
          <w:szCs w:val="20"/>
        </w:rPr>
        <w:t xml:space="preserve">Radiofrequency microneedling uses fine insulated or non-insulated needles to create micro-channels in the skin while simultaneously delivering radiofrequency energy to the dermis. This stimulates collagen and elastin production, tightens the skin, and improves texture, tone, pore size, and scarring. Results develop over several weeks to months as the skin remodels, with optimal outcomes typically seen 3–6 months after a course of treatments.</w:t>
      </w:r>
    </w:p>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RISKS AND EXPECTED SIDE EFFECTS</w:t>
      </w:r>
    </w:p>
    <w:p>
      <w:pPr>
        <w:spacing w:after="80" w:before="200"/>
      </w:pPr>
      <w:r>
        <w:rPr>
          <w:rFonts w:ascii="Arial" w:cs="Arial" w:eastAsia="Arial" w:hAnsi="Arial"/>
          <w:b/>
          <w:bCs/>
          <w:color w:val="1A4D7A"/>
          <w:sz w:val="22"/>
          <w:szCs w:val="22"/>
        </w:rPr>
        <w:t xml:space="preserve">Common effects — expected and temporary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Redness and warmth to the treated area (lasting 24–72 hours)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Pinpoint bleeding at needle entry points — resolves within minutes to hours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Swelling and mild oedema — typically subsides within 24–48 hours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Skin sensitivity and tightness for several days post-treatment</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Bronzed or sandpaper skin texture during healing (3–7 days)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Mild bruising, particularly in thinner skin areas</w:t>
            </w:r>
          </w:p>
        </w:tc>
      </w:tr>
    </w:tbl>
    <w:p>
      <w:pPr>
        <w:spacing w:after="80" w:before="80"/>
      </w:pPr>
      <w:r>
        <w:t xml:space="preserve"/>
      </w:r>
    </w:p>
    <w:p>
      <w:pPr>
        <w:spacing w:after="80" w:before="200"/>
      </w:pPr>
      <w:r>
        <w:rPr>
          <w:rFonts w:ascii="Arial" w:cs="Arial" w:eastAsia="Arial" w:hAnsi="Arial"/>
          <w:b/>
          <w:bCs/>
          <w:color w:val="5C4A00"/>
          <w:sz w:val="22"/>
          <w:szCs w:val="22"/>
        </w:rPr>
        <w:t xml:space="preserve">Less common side effects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Prolonged erythema beyond 72 hours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Transient hyperpigmentation or hypopigmentation — more likely in darker skin types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Milia (whiteheads) formation during healing</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Temporary flare of acne in acne-prone clients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Reactivation of herpes simplex (cold sores) — prophylactic antivirals may be recommended</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Post-inflammatory hyperpigmentation (PIH) — risk increased with unprotected sun exposure</w:t>
            </w:r>
          </w:p>
        </w:tc>
      </w:tr>
    </w:tbl>
    <w:p>
      <w:pPr>
        <w:spacing w:after="80" w:before="80"/>
      </w:pPr>
      <w:r>
        <w:t xml:space="preserve"/>
      </w:r>
    </w:p>
    <w:p>
      <w:pPr>
        <w:spacing w:after="80" w:before="200"/>
      </w:pPr>
      <w:r>
        <w:rPr>
          <w:rFonts w:ascii="Arial" w:cs="Arial" w:eastAsia="Arial" w:hAnsi="Arial"/>
          <w:b/>
          <w:bCs/>
          <w:color w:val="8B1A1A"/>
          <w:sz w:val="22"/>
          <w:szCs w:val="22"/>
        </w:rPr>
        <w:t xml:space="preserve">Rare but serious risks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Infection — risk is minimised with sterile single-use tips and proper aftercare compliance</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Scarring — rare; risk is increased by treatment over active infections, poor wound healing, or keloid history</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Permanent pigmentation changes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Burns or thermal injury — risk is minimised by correct energy settings and trained clinicians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Allergic reaction to topical numbing agents or post-procedure products</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TREATMENT LIMITATIONS</w:t>
      </w:r>
    </w:p>
    <w:p>
      <w:pPr>
        <w:spacing w:after="60" w:before="60"/>
      </w:pPr>
      <w:r>
        <w:rPr>
          <w:rFonts w:ascii="Arial" w:cs="Arial" w:eastAsia="Arial" w:hAnsi="Arial"/>
          <w:sz w:val="20"/>
          <w:szCs w:val="20"/>
        </w:rPr>
        <w:t xml:space="preserve">RF microneedling significantly improves the appearance of the skin but is not a surgical procedure and cannot replicate the results of surgery for significant skin laxity. The number of sessions required varies by indication, skin type, and individual response. Results cannot be guaranteed and may vary between clients. Maintenance treatments may be recommended to sustain results.</w:t>
      </w:r>
    </w:p>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CLIENT DECLARATIONS — PLEASE INITIAL EACH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rFonts w:ascii="Arial" w:cs="Arial" w:eastAsia="Arial" w:hAnsi="Arial"/>
                <w:b/>
                <w:bCs/>
                <w:color w:val="888888"/>
                <w:sz w:val="18"/>
                <w:szCs w:val="18"/>
              </w:rPr>
              <w:t xml:space="preserve">Initial</w:t>
            </w:r>
          </w:p>
        </w:tc>
        <w:tc>
          <w:tcPr>
            <w:tcW w:type="dxa" w:w="86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A4D7A"/>
                <w:sz w:val="18"/>
                <w:szCs w:val="18"/>
              </w:rPr>
              <w:t xml:space="preserve">Declaration</w:t>
            </w:r>
          </w:p>
        </w:tc>
      </w:tr>
      <w:tr>
        <w:tc>
          <w:tcPr>
            <w:tcW w:type="dxa" w:w="7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w:r>
          </w:p>
        </w:tc>
        <w:tc>
          <w:tcPr>
            <w:tcW w:type="dxa" w:w="86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 have read and fully understood the risks, side effects, and limitations described in this consent form.</w:t>
            </w:r>
          </w:p>
        </w:tc>
      </w:tr>
      <w:tr>
        <w:tc>
          <w:tcPr>
            <w:tcW w:type="dxa" w:w="7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w:r>
          </w:p>
        </w:tc>
        <w:tc>
          <w:tcPr>
            <w:tcW w:type="dxa" w:w="86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 have completed the medical history form truthfully and in full, and I understand that withholding information may result in complications.</w:t>
            </w:r>
          </w:p>
        </w:tc>
      </w:tr>
      <w:tr>
        <w:tc>
          <w:tcPr>
            <w:tcW w:type="dxa" w:w="7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w:r>
          </w:p>
        </w:tc>
        <w:tc>
          <w:tcPr>
            <w:tcW w:type="dxa" w:w="86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 understand that results vary between individuals and cannot be guaranteed.</w:t>
            </w:r>
          </w:p>
        </w:tc>
      </w:tr>
      <w:tr>
        <w:tc>
          <w:tcPr>
            <w:tcW w:type="dxa" w:w="7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w:r>
          </w:p>
        </w:tc>
        <w:tc>
          <w:tcPr>
            <w:tcW w:type="dxa" w:w="86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 consent to the procedure being performed and to treatment parameters being adjusted by the clinician as clinically appropriate during my session.</w:t>
            </w:r>
          </w:p>
        </w:tc>
      </w:tr>
      <w:tr>
        <w:tc>
          <w:tcPr>
            <w:tcW w:type="dxa" w:w="7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w:r>
          </w:p>
        </w:tc>
        <w:tc>
          <w:tcPr>
            <w:tcW w:type="dxa" w:w="86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 will follow all pre- and post-procedure instructions provided to me by the clinic.</w:t>
            </w:r>
          </w:p>
        </w:tc>
      </w:tr>
      <w:tr>
        <w:tc>
          <w:tcPr>
            <w:tcW w:type="dxa" w:w="7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w:r>
          </w:p>
        </w:tc>
        <w:tc>
          <w:tcPr>
            <w:tcW w:type="dxa" w:w="86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 will inform the clinic of any changes to my health or medications before each session.</w:t>
            </w:r>
          </w:p>
        </w:tc>
      </w:tr>
      <w:tr>
        <w:tc>
          <w:tcPr>
            <w:tcW w:type="dxa" w:w="7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w:r>
          </w:p>
        </w:tc>
        <w:tc>
          <w:tcPr>
            <w:tcW w:type="dxa" w:w="86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 consent to clinical photography being taken for my treatment records. These will be stored securely and not shared without my written consent.</w:t>
            </w:r>
          </w:p>
        </w:tc>
      </w:tr>
      <w:tr>
        <w:tc>
          <w:tcPr>
            <w:tcW w:type="dxa" w:w="7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w:r>
          </w:p>
        </w:tc>
        <w:tc>
          <w:tcPr>
            <w:tcW w:type="dxa" w:w="86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 have been given the opportunity to ask questions and am satisfied with the answers provided.</w:t>
            </w:r>
          </w:p>
        </w:tc>
      </w:tr>
      <w:tr>
        <w:tc>
          <w:tcPr>
            <w:tcW w:type="dxa" w:w="7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
            </w:r>
          </w:p>
        </w:tc>
        <w:tc>
          <w:tcPr>
            <w:tcW w:type="dxa" w:w="86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 am 18 years of age or older, or parental / guardian consent has been obtained and is attached.</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SIGNATURES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40"/>
        <w:gridCol w:w="4320"/>
      </w:tblGrid>
      <w:tr>
        <w:tc>
          <w:tcPr>
            <w:tcW w:type="dxa" w:w="5040"/>
            <w:tcBorders>
              <w:top w:val="none" w:color="FFFFFF" w:sz="0"/>
              <w:left w:val="none" w:color="FFFFFF" w:sz="0"/>
              <w:bottom w:val="none" w:color="FFFFFF" w:sz="0"/>
              <w:right w:val="none" w:color="FFFFFF" w:sz="0"/>
            </w:tcBorders>
            <w:tcMar>
              <w:top w:type="dxa" w:w="40"/>
              <w:left w:type="dxa" w:w="0"/>
              <w:bottom w:type="dxa" w:w="40"/>
              <w:right w:type="dxa" w:w="160"/>
            </w:tcMar>
          </w:tcPr>
          <w:p>
            <w:r>
              <w:rPr>
                <w:rFonts w:ascii="Arial" w:cs="Arial" w:eastAsia="Arial" w:hAnsi="Arial"/>
                <w:b/>
                <w:bCs/>
                <w:color w:val="555555"/>
                <w:sz w:val="18"/>
                <w:szCs w:val="18"/>
              </w:rPr>
              <w:t xml:space="preserve">Client signature:</w:t>
            </w:r>
          </w:p>
          <w:p>
            <w:pPr>
              <w:pBdr>
                <w:bottom w:val="single" w:color="AAAAAA" w:sz="4"/>
              </w:pBdr>
              <w:spacing w:after="40" w:before="400"/>
            </w:pPr>
            <w:r>
              <w:rPr>
                <w:sz w:val="20"/>
                <w:szCs w:val="20"/>
              </w:rPr>
              <w:t xml:space="preserve"/>
            </w:r>
          </w:p>
        </w:tc>
        <w:tc>
          <w:tcPr>
            <w:tcW w:type="dxa" w:w="4320"/>
            <w:tcBorders>
              <w:top w:val="none" w:color="FFFFFF" w:sz="0"/>
              <w:left w:val="none" w:color="FFFFFF" w:sz="0"/>
              <w:bottom w:val="none" w:color="FFFFFF" w:sz="0"/>
              <w:right w:val="none" w:color="FFFFFF" w:sz="0"/>
            </w:tcBorders>
            <w:tcMar>
              <w:top w:type="dxa" w:w="40"/>
              <w:left w:type="dxa" w:w="160"/>
              <w:bottom w:type="dxa" w:w="40"/>
              <w:right w:type="dxa" w:w="0"/>
            </w:tcMar>
          </w:tcPr>
          <w:p>
            <w:r>
              <w:rPr>
                <w:rFonts w:ascii="Arial" w:cs="Arial" w:eastAsia="Arial" w:hAnsi="Arial"/>
                <w:b/>
                <w:bCs/>
                <w:color w:val="555555"/>
                <w:sz w:val="18"/>
                <w:szCs w:val="18"/>
              </w:rPr>
              <w:t xml:space="preserve">Date:</w:t>
            </w:r>
          </w:p>
          <w:p>
            <w:pPr>
              <w:pBdr>
                <w:bottom w:val="single" w:color="AAAAAA" w:sz="4"/>
              </w:pBdr>
              <w:spacing w:after="40" w:before="400"/>
            </w:pPr>
            <w:r>
              <w:rPr>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Client full name (print)</w:t>
            </w:r>
          </w:p>
        </w:tc>
      </w:tr>
      <w:tr>
        <w:tc>
          <w:tcPr>
            <w:tcW w:type="dxa" w:w="936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pPr>
        <w:spacing w:after="80" w:before="80"/>
      </w:pPr>
      <w:r>
        <w:t xml:space="preserve"/>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40"/>
        <w:gridCol w:w="4320"/>
      </w:tblGrid>
      <w:tr>
        <w:tc>
          <w:tcPr>
            <w:tcW w:type="dxa" w:w="5040"/>
            <w:tcBorders>
              <w:top w:val="none" w:color="FFFFFF" w:sz="0"/>
              <w:left w:val="none" w:color="FFFFFF" w:sz="0"/>
              <w:bottom w:val="none" w:color="FFFFFF" w:sz="0"/>
              <w:right w:val="none" w:color="FFFFFF" w:sz="0"/>
            </w:tcBorders>
            <w:tcMar>
              <w:top w:type="dxa" w:w="40"/>
              <w:left w:type="dxa" w:w="0"/>
              <w:bottom w:type="dxa" w:w="40"/>
              <w:right w:type="dxa" w:w="160"/>
            </w:tcMar>
          </w:tcPr>
          <w:p>
            <w:r>
              <w:rPr>
                <w:rFonts w:ascii="Arial" w:cs="Arial" w:eastAsia="Arial" w:hAnsi="Arial"/>
                <w:b/>
                <w:bCs/>
                <w:color w:val="555555"/>
                <w:sz w:val="18"/>
                <w:szCs w:val="18"/>
              </w:rPr>
              <w:t xml:space="preserve">Clinician / therapist signature:</w:t>
            </w:r>
          </w:p>
          <w:p>
            <w:pPr>
              <w:pBdr>
                <w:bottom w:val="single" w:color="AAAAAA" w:sz="4"/>
              </w:pBdr>
              <w:spacing w:after="40" w:before="400"/>
            </w:pPr>
            <w:r>
              <w:rPr>
                <w:sz w:val="20"/>
                <w:szCs w:val="20"/>
              </w:rPr>
              <w:t xml:space="preserve"/>
            </w:r>
          </w:p>
        </w:tc>
        <w:tc>
          <w:tcPr>
            <w:tcW w:type="dxa" w:w="4320"/>
            <w:tcBorders>
              <w:top w:val="none" w:color="FFFFFF" w:sz="0"/>
              <w:left w:val="none" w:color="FFFFFF" w:sz="0"/>
              <w:bottom w:val="none" w:color="FFFFFF" w:sz="0"/>
              <w:right w:val="none" w:color="FFFFFF" w:sz="0"/>
            </w:tcBorders>
            <w:tcMar>
              <w:top w:type="dxa" w:w="40"/>
              <w:left w:type="dxa" w:w="160"/>
              <w:bottom w:type="dxa" w:w="40"/>
              <w:right w:type="dxa" w:w="0"/>
            </w:tcMar>
          </w:tcPr>
          <w:p>
            <w:r>
              <w:rPr>
                <w:rFonts w:ascii="Arial" w:cs="Arial" w:eastAsia="Arial" w:hAnsi="Arial"/>
                <w:b/>
                <w:bCs/>
                <w:color w:val="555555"/>
                <w:sz w:val="18"/>
                <w:szCs w:val="18"/>
              </w:rPr>
              <w:t xml:space="preserve">Date:</w:t>
            </w:r>
          </w:p>
          <w:p>
            <w:pPr>
              <w:pBdr>
                <w:bottom w:val="single" w:color="AAAAAA" w:sz="4"/>
              </w:pBdr>
              <w:spacing w:after="40" w:before="400"/>
            </w:pPr>
            <w:r>
              <w:rPr>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Clinician full name (print)</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Registration / qualification number</w:t>
            </w:r>
          </w:p>
        </w:tc>
      </w:tr>
      <w:tr>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p>
      <w:r>
        <w:br w:type="page"/>
      </w:r>
    </w:p>
    <w:p>
      <w:pPr>
        <w:pStyle w:val="Heading1"/>
        <w:spacing w:after="200" w:before="400"/>
      </w:pPr>
      <w:r>
        <w:rPr>
          <w:rFonts w:ascii="Arial" w:cs="Arial" w:eastAsia="Arial" w:hAnsi="Arial"/>
          <w:b/>
          <w:bCs/>
          <w:color w:val="1F5C8B"/>
          <w:sz w:val="36"/>
          <w:szCs w:val="36"/>
        </w:rPr>
        <w:t xml:space="preserve">RF Microneedling — Aftercare Instructions</w:t>
      </w:r>
    </w:p>
    <w:p>
      <w:pPr>
        <w:spacing w:after="60" w:before="60"/>
      </w:pPr>
      <w:r>
        <w:rPr>
          <w:rFonts w:ascii="Arial" w:cs="Arial" w:eastAsia="Arial" w:hAnsi="Arial"/>
          <w:i/>
          <w:iCs/>
          <w:color w:val="555555"/>
          <w:sz w:val="20"/>
          <w:szCs w:val="20"/>
        </w:rPr>
        <w:t xml:space="preserve">Please share this sheet with the client at the end of every session. Strict aftercare compliance reduces risk of complications and maximises collagen remodelling outcomes.</w:t>
      </w:r>
    </w:p>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FIRST 24 HOURS — CRITICAL PERIOD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D6E4F0" w:val="clear"/>
            <w:tcMar>
              <w:top w:type="dxa" w:w="120"/>
              <w:left w:type="dxa" w:w="160"/>
              <w:bottom w:type="dxa" w:w="120"/>
              <w:right w:type="dxa" w:w="160"/>
            </w:tcMar>
          </w:tcPr>
          <w:p>
            <w:r>
              <w:rPr>
                <w:rFonts w:ascii="Arial" w:cs="Arial" w:eastAsia="Arial" w:hAnsi="Arial"/>
                <w:color w:val="1A4D7A"/>
                <w:sz w:val="19"/>
                <w:szCs w:val="19"/>
              </w:rPr>
              <w:t xml:space="preserve">The first 24 hours are the most important for minimising complications. Please follow all instructions carefully.</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Expect redness, warmth, and mild swelling — this is a normal and expected wound-healing response.</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Do not touch the treated area with unwashed hands.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 all skincare products, makeup, and topical treatments for at least 12 hours. Your clinician will advise when to resume.</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Apply only the post-treatment serum / barrier cream provided or recommended by your clinician.</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 hot showers, baths, saunas, steam rooms, and heated exercise classes for 24 hours.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 alcohol for 24 hours — it increases inflammation and impairs healing.</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Drink plenty of water to support the skin's healing response.</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Do not pick, scratch, or rub the treated area. Peeling or flaking skin must be allowed to shed naturally.</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Use a clean pillowcase and avoid sleeping on your face where possible.</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Take paracetamol if needed for discomfort. Avoid ibuprofen / NSAIDs for 48 hours as they may reduce the inflammatory response needed for collagen stimulation.</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DAYS 2–7 — HEALING PHASE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Gentle, fragrance-free cleanser only. Pat dry — do not rub.</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Resume a gentle moisturiser once skin surface is intact (usually 24–48 hours post-treatment).</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Apply broad-spectrum SPF 50+ sunscreen every morning — UV exposure during healing significantly increases risk of hyperpigmentation.</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 direct sun exposure. Wear a hat and protective clothing outdoors.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Continue to avoid active skincare: retinoids, AHAs, BHAs, vitamin C, benzoyl peroxide, and exfoliants until day 5–7 minimum.</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Mineral makeup may be applied from 24–48 hours with clean brushes / sponges. Avoid heavy coverage.</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 swimming (pool, sea, lakes) for at least 5 days — chlorine and bacteria may cause infection.</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 professional facials, massage, or any other treatments to the face for at least 2 weeks.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Peeling or bronzing of the skin is normal from day 3 — do not manually exfoliate or peel this skin.</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 waxing, threading, or laser hair removal on the treated area for 4 weeks.</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ONGOING SKINCARE AND SUN PROTECTION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Daily SPF 50+ sunscreen is non-negotiable for the full treatment course and beyond. UV exposure between sessions will compromise results and increase pigmentation risk.</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Retinoids and active skincare may be reintroduced from day 7–10 post-treatment, or as advised by your clinician.</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Keep skin well moisturised to support the skin barrier throughout the healing period.</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Avoid sunbeds, tanning, or significant UV exposure throughout the full course of treatments.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Self-tan / spray tan must be avoided for 2 weeks post-treatment.</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Hyaluronic acid, peptide, and niacinamide serums are ideal supportive products between sessions.</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WHEN TO CONTACT THE CLINIC — URGENT REVIEW NEEDED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FDE8E8" w:val="clear"/>
            <w:tcMar>
              <w:top w:type="dxa" w:w="120"/>
              <w:left w:type="dxa" w:w="160"/>
              <w:bottom w:type="dxa" w:w="120"/>
              <w:right w:type="dxa" w:w="160"/>
            </w:tcMar>
          </w:tcPr>
          <w:p>
            <w:r>
              <w:rPr>
                <w:rFonts w:ascii="Arial" w:cs="Arial" w:eastAsia="Arial" w:hAnsi="Arial"/>
                <w:color w:val="8B1A1A"/>
                <w:sz w:val="19"/>
                <w:szCs w:val="19"/>
              </w:rPr>
              <w:t xml:space="preserve">Contact the clinic promptly if you experience any of the following:</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Increasing (not decreasing) redness, pain, or swelling after 48 hours</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Signs of infection: pus, spreading redness, warmth, fever, lymph node swelling</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Blistering or open wounds that are not healing</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Cold sore or herpes simplex outbreak in the treatment area</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Significant or unexpected changes in skin pigmentation</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Allergic reaction: hives, widespread rash — seek emergency care for any difficulty breathing</w:t>
            </w:r>
          </w:p>
        </w:tc>
      </w:tr>
      <w:tr>
        <w:tc>
          <w:tcPr>
            <w:tcW w:type="dxa" w:w="5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t>
            </w:r>
          </w:p>
        </w:tc>
        <w:tc>
          <w:tcPr>
            <w:tcW w:type="dxa" w:w="88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Any other symptoms that are causing concern</w:t>
            </w:r>
          </w:p>
        </w:tc>
      </w:tr>
    </w:tbl>
    <w:p>
      <w:pPr>
        <w:spacing w:after="80" w:before="80"/>
      </w:pPr>
      <w:r>
        <w:t xml:space="preserve"/>
      </w:r>
    </w:p>
    <w:p>
      <w:pPr>
        <w:spacing w:after="60" w:before="60"/>
      </w:pPr>
      <w:r>
        <w:rPr>
          <w:rFonts w:ascii="Arial" w:cs="Arial" w:eastAsia="Arial" w:hAnsi="Arial"/>
          <w:b/>
          <w:bCs/>
          <w:sz w:val="20"/>
          <w:szCs w:val="20"/>
        </w:rPr>
        <w:t xml:space="preserve">For urgent out-of-hours concerns: contact 111 (UK) or your local urgent care service.</w:t>
      </w:r>
    </w:p>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SESSION INTERVALS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A4D7A"/>
                <w:sz w:val="18"/>
                <w:szCs w:val="18"/>
              </w:rPr>
              <w:t xml:space="preserve">Indication</w:t>
            </w:r>
          </w:p>
        </w:tc>
        <w:tc>
          <w:tcPr>
            <w:tcW w:type="dxa" w:w="46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A4D7A"/>
                <w:sz w:val="18"/>
                <w:szCs w:val="18"/>
              </w:rPr>
              <w:t xml:space="preserve">Recommended interval</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Skin laxity and rejuvenation</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4–6 weeks</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Acne scarring</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4–6 weeks</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Stretch marks</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6–8 weeks</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Pore refinement</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4 weeks</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Body treatments</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6–8 weeks</w:t>
            </w:r>
          </w:p>
        </w:tc>
      </w:tr>
    </w:tbl>
    <w:p>
      <w:pPr>
        <w:spacing w:after="80" w:before="80"/>
      </w:pPr>
      <w:r>
        <w:t xml:space="preserve"/>
      </w:r>
    </w:p>
    <w:p>
      <w:pPr>
        <w:pBdr>
          <w:bottom w:val="single" w:color="DDDDDD" w:sz="2" w:space="1"/>
        </w:pBdr>
        <w:spacing w:after="80" w:before="240"/>
      </w:pPr>
      <w:r>
        <w:rPr>
          <w:rFonts w:ascii="Arial" w:cs="Arial" w:eastAsia="Arial" w:hAnsi="Arial"/>
          <w:b/>
          <w:bCs/>
          <w:color w:val="888888"/>
          <w:spacing w:val="40"/>
          <w:sz w:val="18"/>
          <w:szCs w:val="18"/>
        </w:rPr>
        <w:t xml:space="preserve">AFTERCARE ACKNOWLEDGEMENT</w:t>
      </w:r>
    </w:p>
    <w:p>
      <w:pPr>
        <w:spacing w:after="60" w:before="60"/>
      </w:pPr>
      <w:r>
        <w:rPr>
          <w:rFonts w:ascii="Arial" w:cs="Arial" w:eastAsia="Arial" w:hAnsi="Arial"/>
          <w:sz w:val="20"/>
          <w:szCs w:val="20"/>
        </w:rPr>
        <w:t xml:space="preserve">By signing below, you confirm you have received, read, and understood all aftercare instructions.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40"/>
        <w:gridCol w:w="4320"/>
      </w:tblGrid>
      <w:tr>
        <w:tc>
          <w:tcPr>
            <w:tcW w:type="dxa" w:w="5040"/>
            <w:tcBorders>
              <w:top w:val="none" w:color="FFFFFF" w:sz="0"/>
              <w:left w:val="none" w:color="FFFFFF" w:sz="0"/>
              <w:bottom w:val="none" w:color="FFFFFF" w:sz="0"/>
              <w:right w:val="none" w:color="FFFFFF" w:sz="0"/>
            </w:tcBorders>
            <w:tcMar>
              <w:top w:type="dxa" w:w="40"/>
              <w:left w:type="dxa" w:w="0"/>
              <w:bottom w:type="dxa" w:w="40"/>
              <w:right w:type="dxa" w:w="160"/>
            </w:tcMar>
          </w:tcPr>
          <w:p>
            <w:r>
              <w:rPr>
                <w:rFonts w:ascii="Arial" w:cs="Arial" w:eastAsia="Arial" w:hAnsi="Arial"/>
                <w:b/>
                <w:bCs/>
                <w:color w:val="555555"/>
                <w:sz w:val="18"/>
                <w:szCs w:val="18"/>
              </w:rPr>
              <w:t xml:space="preserve">Client signature:</w:t>
            </w:r>
          </w:p>
          <w:p>
            <w:pPr>
              <w:pBdr>
                <w:bottom w:val="single" w:color="AAAAAA" w:sz="4"/>
              </w:pBdr>
              <w:spacing w:after="40" w:before="400"/>
            </w:pPr>
            <w:r>
              <w:rPr>
                <w:sz w:val="20"/>
                <w:szCs w:val="20"/>
              </w:rPr>
              <w:t xml:space="preserve"/>
            </w:r>
          </w:p>
        </w:tc>
        <w:tc>
          <w:tcPr>
            <w:tcW w:type="dxa" w:w="4320"/>
            <w:tcBorders>
              <w:top w:val="none" w:color="FFFFFF" w:sz="0"/>
              <w:left w:val="none" w:color="FFFFFF" w:sz="0"/>
              <w:bottom w:val="none" w:color="FFFFFF" w:sz="0"/>
              <w:right w:val="none" w:color="FFFFFF" w:sz="0"/>
            </w:tcBorders>
            <w:tcMar>
              <w:top w:type="dxa" w:w="40"/>
              <w:left w:type="dxa" w:w="160"/>
              <w:bottom w:type="dxa" w:w="40"/>
              <w:right w:type="dxa" w:w="0"/>
            </w:tcMar>
          </w:tcPr>
          <w:p>
            <w:r>
              <w:rPr>
                <w:rFonts w:ascii="Arial" w:cs="Arial" w:eastAsia="Arial" w:hAnsi="Arial"/>
                <w:b/>
                <w:bCs/>
                <w:color w:val="555555"/>
                <w:sz w:val="18"/>
                <w:szCs w:val="18"/>
              </w:rPr>
              <w:t xml:space="preserve">Date:</w:t>
            </w:r>
          </w:p>
          <w:p>
            <w:pPr>
              <w:pBdr>
                <w:bottom w:val="single" w:color="AAAAAA" w:sz="4"/>
              </w:pBdr>
              <w:spacing w:after="40" w:before="400"/>
            </w:pPr>
            <w:r>
              <w:rPr>
                <w:sz w:val="20"/>
                <w:szCs w:val="20"/>
              </w:rPr>
              <w:t xml:space="preserve"/>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Client full name (print)</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555555"/>
                <w:sz w:val="18"/>
                <w:szCs w:val="18"/>
              </w:rPr>
              <w:t xml:space="preserve">Date</w:t>
            </w:r>
          </w:p>
        </w:tc>
      </w:tr>
      <w:tr>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c>
          <w:tcPr>
            <w:tcW w:type="dxa" w:w="4680"/>
            <w:tcBorders>
              <w:top w:val="none" w:color="FFFFFF" w:sz="0"/>
              <w:left w:val="none" w:color="FFFFFF" w:sz="0"/>
              <w:bottom w:val="single" w:color="AAAAAA" w:sz="4"/>
              <w:right w:val="none" w:color="FFFFFF" w:sz="0"/>
            </w:tcBorders>
            <w:tcMar>
              <w:top w:type="dxa" w:w="80"/>
              <w:left w:type="dxa" w:w="80"/>
              <w:bottom w:type="dxa" w:w="80"/>
              <w:right w:type="dxa" w:w="80"/>
            </w:tcMar>
          </w:tcPr>
          <w:p>
            <w:r>
              <w:rPr>
                <w:rFonts w:ascii="Arial" w:cs="Arial" w:eastAsia="Arial" w:hAnsi="Arial"/>
                <w:sz w:val="20"/>
                <w:szCs w:val="20"/>
              </w:rPr>
              <w:t xml:space="preserve"/>
            </w:r>
          </w:p>
        </w:tc>
      </w:tr>
    </w:tbl>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Arial" w:cs="Arial" w:eastAsia="Arial" w:hAnsi="Arial"/>
      <w:b/>
      <w:bCs/>
      <w:color w:val="1F5C8B"/>
      <w:sz w:val="40"/>
      <w:szCs w:val="40"/>
    </w:rPr>
  </w:style>
  <w:style w:type="paragraph" w:styleId="Heading2">
    <w:name w:val="Heading 2"/>
    <w:basedOn w:val="Normal"/>
    <w:next w:val="Normal"/>
    <w:qFormat/>
    <w:pPr>
      <w:spacing w:after="120" w:before="320"/>
      <w:outlineLvl w:val="1"/>
    </w:pPr>
    <w:rPr>
      <w:rFonts w:ascii="Arial" w:cs="Arial" w:eastAsia="Arial" w:hAnsi="Arial"/>
      <w:b/>
      <w:bCs/>
      <w:color w:val="1F5C8B"/>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2026-06-29T20:38:18.829Z</dcterms:created>
  <dcterms:modified xsi:type="dcterms:W3CDTF">2026-06-29T20:38:18.829Z</dcterms:modified>
</cp:coreProperties>
</file>

<file path=docProps/custom.xml><?xml version="1.0" encoding="utf-8"?>
<Properties xmlns="http://schemas.openxmlformats.org/officeDocument/2006/custom-properties" xmlns:vt="http://schemas.openxmlformats.org/officeDocument/2006/docPropsVTypes"/>
</file>