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3B57"/>
          <w:sz w:val="28"/>
          <w:szCs w:val="28"/>
        </w:rPr>
        <w:t xml:space="preserve">[PRACTICE / CLINIC NAME]</w:t>
      </w:r>
    </w:p>
    <w:p>
      <w:pPr>
        <w:spacing w:after="240"/>
        <w:jc w:val="center"/>
      </w:pPr>
      <w:r>
        <w:rPr>
          <w:i/>
          <w:iCs/>
          <w:color w:val="595959"/>
          <w:sz w:val="18"/>
          <w:szCs w:val="18"/>
        </w:rPr>
        <w:t xml:space="preserve">[Address  •  Phone Number  •  Email]</w:t>
      </w:r>
    </w:p>
    <w:p>
      <w:pPr>
        <w:pStyle w:val="Heading1"/>
        <w:jc w:val="center"/>
      </w:pPr>
      <w:r>
        <w:t xml:space="preserve">INFORMED CONSENT FOR LASER HAIR REMOVAL</w:t>
      </w:r>
    </w:p>
    <w:p>
      <w:pPr>
        <w:spacing w:after="260"/>
        <w:jc w:val="center"/>
      </w:pPr>
      <w:r>
        <w:rPr>
          <w:i/>
          <w:iCs/>
          <w:color w:val="595959"/>
          <w:sz w:val="22"/>
          <w:szCs w:val="22"/>
        </w:rPr>
        <w:t xml:space="preserve">Alexandrite Laser &amp; Long-Pulse Nd:YAG Laser</w:t>
      </w:r>
    </w:p>
    <w:p>
      <w:pPr>
        <w:pStyle w:val="Heading2"/>
      </w:pPr>
      <w:r>
        <w:t xml:space="preserve">Purpose of Treatment</w:t>
      </w:r>
    </w:p>
    <w:p>
      <w:pPr>
        <w:spacing w:after="200"/>
      </w:pPr>
      <w:r>
        <w:rPr>
          <w:sz w:val="22"/>
          <w:szCs w:val="22"/>
        </w:rPr>
        <w:t xml:space="preserve">I understand that I am requesting and consenting to laser hair removal treatment using an Alexandrite laser and/or a Long-Pulse Nd:YAG laser. These devices use focused light energy (photothermolysis) absorbed by melanin in the hair follicle to damage the follicle and inhibit future hair growth. The Alexandrite laser (755 nm) is typically used on lighter skin tones, and the Long-Pulse Nd:YAG laser (1064 nm) is typically used on darker skin tones or tanned skin due to its lower risk of pigment-related side effects. My provider will select the appropriate laser and settings based on my skin type, hair color, and treatment area.</w:t>
      </w:r>
    </w:p>
    <w:p>
      <w:pPr>
        <w:pStyle w:val="Heading2"/>
      </w:pPr>
      <w:r>
        <w:t xml:space="preserve">Expected Outcome</w:t>
      </w:r>
    </w:p>
    <w:p>
      <w:pPr>
        <w:spacing w:after="200"/>
      </w:pPr>
      <w:r>
        <w:rPr>
          <w:sz w:val="22"/>
          <w:szCs w:val="22"/>
        </w:rPr>
        <w:t xml:space="preserve">I understand that laser hair removal results in a gradual reduction of hair growth over a series of treatments, typically 6–8 or more sessions spaced 4–8 weeks apart, depending on the treatment area and hair growth cycle. I understand that laser hair removal is NOT a guarantee of permanent or 100% hair removal. Some hair may regrow over time, often finer and lighter, and periodic maintenance treatments may be needed. Results vary based on hair color, skin tone, hormonal factors, and the area treated. Lighter, finer (vellus), gray, white, or red hair may respond poorly to treatment.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160"/>
        <w:gridCol w:w="1200"/>
      </w:tblGrid>
      <w:tr>
        <w:tc>
          <w:tcPr>
            <w:tcW w:type="dxa" w:w="8160"/>
            <w:tcBorders>
              <w:top w:val="none"/>
              <w:left w:val="none"/>
              <w:bottom w:val="none"/>
              <w:right w:val="none"/>
            </w:tcBorders>
            <w:tcMar>
              <w:top w:type="dxa" w:w="40"/>
              <w:left w:type="dxa" w:w="0"/>
              <w:bottom w:type="dxa" w:w="200"/>
              <w:right w:type="dxa" w:w="0"/>
            </w:tcMar>
          </w:tcPr>
          <w:p>
            <w:r>
              <w:rPr>
                <w:i/>
                <w:iCs/>
                <w:color w:val="595959"/>
                <w:sz w:val="20"/>
                <w:szCs w:val="20"/>
              </w:rPr>
              <w:t xml:space="preserve">Patient Initials:</w:t>
            </w:r>
          </w:p>
        </w:tc>
        <w:tc>
          <w:tcPr>
            <w:tcW w:type="dxa" w:w="1200"/>
            <w:tcBorders>
              <w:top w:val="single" w:color="BFBFBF" w:sz="1"/>
              <w:left w:val="single" w:color="BFBFBF" w:sz="1"/>
              <w:bottom w:val="single" w:color="BFBFBF" w:sz="1"/>
              <w:right w:val="single" w:color="BFBFBF" w:sz="1"/>
            </w:tcBorders>
            <w:tcMar>
              <w:top w:type="dxa" w:w="40"/>
              <w:left w:type="dxa" w:w="80"/>
              <w:bottom w:type="dxa" w:w="200"/>
              <w:right w:type="dxa" w:w="80"/>
            </w:tcMar>
          </w:tcPr>
          <w:p/>
        </w:tc>
      </w:tr>
    </w:tbl>
    <w:p>
      <w:pPr>
        <w:pStyle w:val="Heading2"/>
      </w:pPr>
      <w:r>
        <w:t xml:space="preserve">Risks and Possible Side Effects</w:t>
      </w:r>
    </w:p>
    <w:p>
      <w:pPr>
        <w:spacing w:after="160"/>
      </w:pPr>
      <w:r>
        <w:rPr>
          <w:sz w:val="22"/>
          <w:szCs w:val="22"/>
        </w:rPr>
        <w:t xml:space="preserve">I understand that, as with any medical or aesthetic procedure, laser hair removal carries risks, including but not limited to:</w:t>
      </w:r>
    </w:p>
    <w:p>
      <w:pPr>
        <w:pStyle w:val="ListParagraph"/>
        <w:numPr>
          <w:ilvl w:val="0"/>
          <w:numId w:val="2"/>
        </w:numPr>
        <w:spacing w:after="100"/>
      </w:pPr>
      <w:r>
        <w:rPr>
          <w:sz w:val="22"/>
          <w:szCs w:val="22"/>
        </w:rPr>
        <w:t xml:space="preserve">Temporary redness, swelling, and discomfort (similar to a sunburn or mild rubber-band snap), usually resolving within a few hours to a few days.</w:t>
      </w:r>
    </w:p>
    <w:p>
      <w:pPr>
        <w:pStyle w:val="ListParagraph"/>
        <w:numPr>
          <w:ilvl w:val="0"/>
          <w:numId w:val="2"/>
        </w:numPr>
        <w:spacing w:after="100"/>
      </w:pPr>
      <w:r>
        <w:rPr>
          <w:sz w:val="22"/>
          <w:szCs w:val="22"/>
        </w:rPr>
        <w:t xml:space="preserve">Temporary changes in skin pigmentation — hyperpigmentation (darkening) or hypopigmentation (lightening), which may take weeks to months to resolve and, rarely, may be permanent.</w:t>
      </w:r>
    </w:p>
    <w:p>
      <w:pPr>
        <w:pStyle w:val="ListParagraph"/>
        <w:numPr>
          <w:ilvl w:val="0"/>
          <w:numId w:val="2"/>
        </w:numPr>
        <w:spacing w:after="100"/>
      </w:pPr>
      <w:r>
        <w:rPr>
          <w:sz w:val="22"/>
          <w:szCs w:val="22"/>
        </w:rPr>
        <w:t xml:space="preserve">Blistering, crusting, or superficial burns, particularly in patients with tanned skin or when pre/post-care instructions are not followed.</w:t>
      </w:r>
    </w:p>
    <w:p>
      <w:pPr>
        <w:pStyle w:val="ListParagraph"/>
        <w:numPr>
          <w:ilvl w:val="0"/>
          <w:numId w:val="2"/>
        </w:numPr>
        <w:spacing w:after="100"/>
      </w:pPr>
      <w:r>
        <w:rPr>
          <w:sz w:val="22"/>
          <w:szCs w:val="22"/>
        </w:rPr>
        <w:t xml:space="preserve">Scarring, including keloid formation in susceptible individuals, though uncommon with appropriate technique.</w:t>
      </w:r>
    </w:p>
    <w:p>
      <w:pPr>
        <w:pStyle w:val="ListParagraph"/>
        <w:numPr>
          <w:ilvl w:val="0"/>
          <w:numId w:val="2"/>
        </w:numPr>
        <w:spacing w:after="100"/>
      </w:pPr>
      <w:r>
        <w:rPr>
          <w:sz w:val="22"/>
          <w:szCs w:val="22"/>
        </w:rPr>
        <w:t xml:space="preserve">Folliculitis (inflammation of hair follicles) or temporary acne-like breakouts in the treatment area.</w:t>
      </w:r>
    </w:p>
    <w:p>
      <w:pPr>
        <w:pStyle w:val="ListParagraph"/>
        <w:numPr>
          <w:ilvl w:val="0"/>
          <w:numId w:val="2"/>
        </w:numPr>
        <w:spacing w:after="100"/>
      </w:pPr>
      <w:r>
        <w:rPr>
          <w:sz w:val="22"/>
          <w:szCs w:val="22"/>
        </w:rPr>
        <w:t xml:space="preserve">Infection of the treated area (rare).</w:t>
      </w:r>
    </w:p>
    <w:p>
      <w:pPr>
        <w:pStyle w:val="ListParagraph"/>
        <w:numPr>
          <w:ilvl w:val="0"/>
          <w:numId w:val="2"/>
        </w:numPr>
        <w:spacing w:after="100"/>
      </w:pPr>
      <w:r>
        <w:rPr>
          <w:sz w:val="22"/>
          <w:szCs w:val="22"/>
        </w:rPr>
        <w:t xml:space="preserve">Activation or reactivation of herpes simplex (cold sores) when treating the face or lip area in susceptible individuals.</w:t>
      </w:r>
    </w:p>
    <w:p>
      <w:pPr>
        <w:pStyle w:val="ListParagraph"/>
        <w:numPr>
          <w:ilvl w:val="0"/>
          <w:numId w:val="2"/>
        </w:numPr>
        <w:spacing w:after="100"/>
      </w:pPr>
      <w:r>
        <w:rPr>
          <w:sz w:val="22"/>
          <w:szCs w:val="22"/>
        </w:rPr>
        <w:t xml:space="preserve">Paradoxical hair growth — a rare phenomenon in which fine, vellus hairs in or around the treatment area may darken or thicken, particularly in areas influenced by hormones (e.g., face, neck).</w:t>
      </w:r>
    </w:p>
    <w:p>
      <w:pPr>
        <w:pStyle w:val="ListParagraph"/>
        <w:numPr>
          <w:ilvl w:val="0"/>
          <w:numId w:val="2"/>
        </w:numPr>
        <w:spacing w:after="100"/>
      </w:pPr>
      <w:r>
        <w:rPr>
          <w:sz w:val="22"/>
          <w:szCs w:val="22"/>
        </w:rPr>
        <w:t xml:space="preserve">Changes in skin texture.</w:t>
      </w:r>
    </w:p>
    <w:p>
      <w:pPr>
        <w:pStyle w:val="ListParagraph"/>
        <w:numPr>
          <w:ilvl w:val="0"/>
          <w:numId w:val="2"/>
        </w:numPr>
        <w:spacing w:after="100"/>
      </w:pPr>
      <w:r>
        <w:rPr>
          <w:sz w:val="22"/>
          <w:szCs w:val="22"/>
        </w:rPr>
        <w:t xml:space="preserve">Eye injury if protective eyewear is not properly worn during treatment (relevant to both patient and any observers in the room).</w:t>
      </w:r>
    </w:p>
    <w:p>
      <w:pPr>
        <w:pStyle w:val="ListParagraph"/>
        <w:numPr>
          <w:ilvl w:val="0"/>
          <w:numId w:val="2"/>
        </w:numPr>
        <w:spacing w:after="100"/>
      </w:pPr>
      <w:r>
        <w:rPr>
          <w:sz w:val="22"/>
          <w:szCs w:val="22"/>
        </w:rPr>
        <w:t xml:space="preserve">Treatment may be less effective or carry higher risk on tanned or naturally dark skin, fine or light-colored hair, and in patients with certain hormonal conditions (e.g., PCOS).</w:t>
      </w:r>
    </w:p>
    <w:p>
      <w:pPr>
        <w:pStyle w:val="ListParagraph"/>
        <w:numPr>
          <w:ilvl w:val="0"/>
          <w:numId w:val="2"/>
        </w:numPr>
        <w:spacing w:after="100"/>
      </w:pPr>
      <w:r>
        <w:rPr>
          <w:sz w:val="22"/>
          <w:szCs w:val="22"/>
        </w:rPr>
        <w:t xml:space="preserve">Failure to achieve desired results, or the need for more treatment sessions than anticipated.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160"/>
        <w:gridCol w:w="1200"/>
      </w:tblGrid>
      <w:tr>
        <w:tc>
          <w:tcPr>
            <w:tcW w:type="dxa" w:w="8160"/>
            <w:tcBorders>
              <w:top w:val="none"/>
              <w:left w:val="none"/>
              <w:bottom w:val="none"/>
              <w:right w:val="none"/>
            </w:tcBorders>
            <w:tcMar>
              <w:top w:type="dxa" w:w="40"/>
              <w:left w:type="dxa" w:w="0"/>
              <w:bottom w:type="dxa" w:w="200"/>
              <w:right w:type="dxa" w:w="0"/>
            </w:tcMar>
          </w:tcPr>
          <w:p>
            <w:r>
              <w:rPr>
                <w:i/>
                <w:iCs/>
                <w:color w:val="595959"/>
                <w:sz w:val="20"/>
                <w:szCs w:val="20"/>
              </w:rPr>
              <w:t xml:space="preserve">Patient Initials:</w:t>
            </w:r>
          </w:p>
        </w:tc>
        <w:tc>
          <w:tcPr>
            <w:tcW w:type="dxa" w:w="1200"/>
            <w:tcBorders>
              <w:top w:val="single" w:color="BFBFBF" w:sz="1"/>
              <w:left w:val="single" w:color="BFBFBF" w:sz="1"/>
              <w:bottom w:val="single" w:color="BFBFBF" w:sz="1"/>
              <w:right w:val="single" w:color="BFBFBF" w:sz="1"/>
            </w:tcBorders>
            <w:tcMar>
              <w:top w:type="dxa" w:w="40"/>
              <w:left w:type="dxa" w:w="80"/>
              <w:bottom w:type="dxa" w:w="200"/>
              <w:right w:type="dxa" w:w="80"/>
            </w:tcMar>
          </w:tcPr>
          <w:p/>
        </w:tc>
      </w:tr>
    </w:tbl>
    <w:p>
      <w:pPr>
        <w:pStyle w:val="Heading2"/>
      </w:pPr>
      <w:r>
        <w:t xml:space="preserve">Contraindications I Have Disclosed</w:t>
      </w:r>
    </w:p>
    <w:p>
      <w:pPr>
        <w:spacing w:after="160"/>
      </w:pPr>
      <w:r>
        <w:rPr>
          <w:sz w:val="22"/>
          <w:szCs w:val="22"/>
        </w:rPr>
        <w:t xml:space="preserve">I confirm that I have completed the Medical History Form accurately and have disclosed any of the following, if applicable: pregnancy or breastfeeding, history of keloid scarring, active skin infection or sunburn in the treatment area, recent tanning, use of Accutane within the past 6 months, photosensitizing medications, history of herpes simplex in the treatment area, light-sensitive medical conditions (e.g., lupus, porphyria), or any implanted electronic device.</w:t>
      </w:r>
    </w:p>
    <w:p>
      <w:pPr>
        <w:pStyle w:val="Heading2"/>
      </w:pPr>
      <w:r>
        <w:t xml:space="preserve">Alternative Treatments</w:t>
      </w:r>
    </w:p>
    <w:p>
      <w:pPr>
        <w:spacing w:after="200"/>
      </w:pPr>
      <w:r>
        <w:rPr>
          <w:sz w:val="22"/>
          <w:szCs w:val="22"/>
        </w:rPr>
        <w:t xml:space="preserve">I understand that alternatives to laser hair removal exist, including shaving, waxing, depilatory creams, electrolysis, and threading, and that I am choosing laser hair removal after considering these alternatives.</w:t>
      </w:r>
    </w:p>
    <w:p>
      <w:pPr>
        <w:pStyle w:val="Heading2"/>
      </w:pPr>
      <w:r>
        <w:t xml:space="preserve">Photography</w:t>
      </w:r>
    </w:p>
    <w:p>
      <w:pPr>
        <w:spacing w:after="160"/>
      </w:pPr>
      <w:r>
        <w:rPr>
          <w:sz w:val="22"/>
          <w:szCs w:val="22"/>
        </w:rPr>
        <w:t xml:space="preserve">I consent to clinical photographs being taken before, during, and after treatment for my medical record and to track treatment progress.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left w:val="none"/>
              <w:bottom w:val="none"/>
              <w:right w:val="none"/>
            </w:tcBorders>
            <w:tcMar>
              <w:top w:type="dxa" w:w="0"/>
              <w:left w:type="dxa" w:w="0"/>
              <w:bottom w:type="dxa" w:w="200"/>
              <w:right w:type="dxa" w:w="0"/>
            </w:tcMar>
          </w:tcPr>
          <w:p>
            <w:r>
              <w:rPr>
                <w:sz w:val="20"/>
                <w:szCs w:val="20"/>
              </w:rPr>
              <w:t xml:space="preserve">☐ I additionally consent to my photos being used for marketing/educational purposes</w:t>
            </w:r>
          </w:p>
        </w:tc>
        <w:tc>
          <w:tcPr>
            <w:tcW w:type="dxa" w:w="4680"/>
            <w:tcBorders>
              <w:top w:val="none"/>
              <w:left w:val="none"/>
              <w:bottom w:val="none"/>
              <w:right w:val="none"/>
            </w:tcBorders>
            <w:tcMar>
              <w:top w:type="dxa" w:w="0"/>
              <w:left w:type="dxa" w:w="0"/>
              <w:bottom w:type="dxa" w:w="200"/>
              <w:right w:type="dxa" w:w="0"/>
            </w:tcMar>
          </w:tcPr>
          <w:p>
            <w:r>
              <w:rPr>
                <w:sz w:val="20"/>
                <w:szCs w:val="20"/>
              </w:rPr>
              <w:t xml:space="preserve">☐ I do NOT consent to marketing/educational use of my photos</w:t>
            </w:r>
          </w:p>
        </w:tc>
      </w:tr>
    </w:tbl>
    <w:p>
      <w:pPr>
        <w:pStyle w:val="Heading2"/>
      </w:pPr>
      <w:r>
        <w:t xml:space="preserve">Patient Acknowledgment</w:t>
      </w:r>
    </w:p>
    <w:p>
      <w:pPr>
        <w:pStyle w:val="ListParagraph"/>
        <w:numPr>
          <w:ilvl w:val="0"/>
          <w:numId w:val="3"/>
        </w:numPr>
        <w:spacing w:after="140"/>
      </w:pPr>
      <w:r>
        <w:rPr>
          <w:sz w:val="22"/>
          <w:szCs w:val="22"/>
        </w:rPr>
        <w:t xml:space="preserve">I have read and understand the information provided in this consent form.</w:t>
      </w:r>
    </w:p>
    <w:p>
      <w:pPr>
        <w:pStyle w:val="ListParagraph"/>
        <w:numPr>
          <w:ilvl w:val="0"/>
          <w:numId w:val="3"/>
        </w:numPr>
        <w:spacing w:after="140"/>
      </w:pPr>
      <w:r>
        <w:rPr>
          <w:sz w:val="22"/>
          <w:szCs w:val="22"/>
        </w:rPr>
        <w:t xml:space="preserve">I have had the opportunity to ask questions about the procedure, and all of my questions have been answered to my satisfaction.</w:t>
      </w:r>
    </w:p>
    <w:p>
      <w:pPr>
        <w:pStyle w:val="ListParagraph"/>
        <w:numPr>
          <w:ilvl w:val="0"/>
          <w:numId w:val="3"/>
        </w:numPr>
        <w:spacing w:after="140"/>
      </w:pPr>
      <w:r>
        <w:rPr>
          <w:sz w:val="22"/>
          <w:szCs w:val="22"/>
        </w:rPr>
        <w:t xml:space="preserve">I understand the risks, benefits, expected outcomes, and alternatives to laser hair removal as described above.</w:t>
      </w:r>
    </w:p>
    <w:p>
      <w:pPr>
        <w:pStyle w:val="ListParagraph"/>
        <w:numPr>
          <w:ilvl w:val="0"/>
          <w:numId w:val="3"/>
        </w:numPr>
        <w:spacing w:after="140"/>
      </w:pPr>
      <w:r>
        <w:rPr>
          <w:sz w:val="22"/>
          <w:szCs w:val="22"/>
        </w:rPr>
        <w:t xml:space="preserve">I have disclosed my complete and accurate medical history.</w:t>
      </w:r>
    </w:p>
    <w:p>
      <w:pPr>
        <w:pStyle w:val="ListParagraph"/>
        <w:numPr>
          <w:ilvl w:val="0"/>
          <w:numId w:val="3"/>
        </w:numPr>
        <w:spacing w:after="140"/>
      </w:pPr>
      <w:r>
        <w:rPr>
          <w:sz w:val="22"/>
          <w:szCs w:val="22"/>
        </w:rPr>
        <w:t xml:space="preserve">I agree to follow all pre-procedure and aftercare instructions provided by the clinic.</w:t>
      </w:r>
    </w:p>
    <w:p>
      <w:pPr>
        <w:pStyle w:val="ListParagraph"/>
        <w:numPr>
          <w:ilvl w:val="0"/>
          <w:numId w:val="3"/>
        </w:numPr>
        <w:spacing w:after="140"/>
      </w:pPr>
      <w:r>
        <w:rPr>
          <w:sz w:val="22"/>
          <w:szCs w:val="22"/>
        </w:rPr>
        <w:t xml:space="preserve">I understand that no guarantee or warranty has been made regarding the specific results of this treatment.</w:t>
      </w:r>
    </w:p>
    <w:p>
      <w:pPr>
        <w:pStyle w:val="ListParagraph"/>
        <w:numPr>
          <w:ilvl w:val="0"/>
          <w:numId w:val="3"/>
        </w:numPr>
        <w:spacing w:after="140"/>
      </w:pPr>
      <w:r>
        <w:rPr>
          <w:sz w:val="22"/>
          <w:szCs w:val="22"/>
        </w:rPr>
        <w:t xml:space="preserve">I voluntarily consent to undergo laser hair removal treatment using the Alexandrite and/or Long-Pulse Nd:YAG laser, and I release the clinic and its providers from liability for known risks that occur despite the exercise of reasonable care.</w:t>
      </w:r>
    </w:p>
    <w:p>
      <w:pPr>
        <w:spacing w:after="0"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left w:val="none"/>
              <w:bottom w:val="none"/>
              <w:right w:val="none"/>
            </w:tcBorders>
            <w:tcMar>
              <w:top w:type="dxa" w:w="280"/>
              <w:left w:type="dxa" w:w="0"/>
              <w:bottom w:type="dxa" w:w="0"/>
              <w:right w:type="dxa" w:w="0"/>
            </w:tcMar>
          </w:tcPr>
          <w:p>
            <w:pPr>
              <w:pBdr>
                <w:top w:val="single" w:color="595959" w:sz="4" w:space="4"/>
              </w:pBdr>
            </w:pPr>
            <w:r>
              <w:rPr>
                <w:color w:val="595959"/>
                <w:sz w:val="20"/>
                <w:szCs w:val="20"/>
              </w:rPr>
              <w:t xml:space="preserve">Patient Signature</w:t>
            </w:r>
          </w:p>
        </w:tc>
        <w:tc>
          <w:tcPr>
            <w:tcW w:type="dxa" w:w="4680"/>
            <w:tcBorders>
              <w:top w:val="none"/>
              <w:left w:val="none"/>
              <w:bottom w:val="none"/>
              <w:right w:val="none"/>
            </w:tcBorders>
            <w:tcMar>
              <w:top w:type="dxa" w:w="280"/>
              <w:left w:type="dxa" w:w="0"/>
              <w:bottom w:type="dxa" w:w="0"/>
              <w:right w:type="dxa" w:w="0"/>
            </w:tcMar>
          </w:tcPr>
          <w:p>
            <w:pPr>
              <w:pBdr>
                <w:top w:val="single" w:color="595959" w:sz="4" w:space="4"/>
              </w:pBdr>
            </w:pPr>
            <w:r>
              <w:rPr>
                <w:color w:val="595959"/>
                <w:sz w:val="20"/>
                <w:szCs w:val="20"/>
              </w:rPr>
              <w:t xml:space="preserve">Date</w:t>
            </w:r>
          </w:p>
        </w:tc>
      </w:tr>
      <w:tr>
        <w:tc>
          <w:tcPr>
            <w:tcW w:type="dxa" w:w="4680"/>
            <w:tcBorders>
              <w:top w:val="none"/>
              <w:left w:val="none"/>
              <w:bottom w:val="none"/>
              <w:right w:val="none"/>
            </w:tcBorders>
            <w:tcMar>
              <w:top w:type="dxa" w:w="280"/>
              <w:left w:type="dxa" w:w="0"/>
              <w:bottom w:type="dxa" w:w="0"/>
              <w:right w:type="dxa" w:w="0"/>
            </w:tcMar>
          </w:tcPr>
          <w:p>
            <w:pPr>
              <w:pBdr>
                <w:top w:val="single" w:color="595959" w:sz="4" w:space="4"/>
              </w:pBdr>
            </w:pPr>
            <w:r>
              <w:rPr>
                <w:color w:val="595959"/>
                <w:sz w:val="20"/>
                <w:szCs w:val="20"/>
              </w:rPr>
              <w:t xml:space="preserve">Printed Name</w:t>
            </w:r>
          </w:p>
        </w:tc>
        <w:tc>
          <w:tcPr>
            <w:tcW w:type="dxa" w:w="4680"/>
            <w:tcBorders>
              <w:top w:val="none"/>
              <w:left w:val="none"/>
              <w:bottom w:val="none"/>
              <w:right w:val="none"/>
            </w:tcBorders>
            <w:tcMar>
              <w:top w:type="dxa" w:w="280"/>
              <w:left w:type="dxa" w:w="0"/>
              <w:bottom w:type="dxa" w:w="0"/>
              <w:right w:type="dxa" w:w="0"/>
            </w:tcMar>
          </w:tcPr>
          <w:p>
            <w:pPr>
              <w:pBdr>
                <w:top w:val="single" w:color="595959" w:sz="4" w:space="4"/>
              </w:pBdr>
            </w:pPr>
            <w:r>
              <w:rPr>
                <w:color w:val="595959"/>
                <w:sz w:val="20"/>
                <w:szCs w:val="20"/>
              </w:rPr>
              <w:t xml:space="preserve">Witness / Provider Signature</w:t>
            </w:r>
          </w:p>
        </w:tc>
      </w:tr>
    </w:tbl>
    <w:p>
      <w:pPr>
        <w:pBdr>
          <w:left w:val="single" w:color="C0392B" w:sz="18" w:space="8"/>
        </w:pBdr>
        <w:shd w:fill="FDEDEC" w:val="clear"/>
        <w:spacing w:before="280"/>
      </w:pPr>
      <w:r>
        <w:rPr>
          <w:i/>
          <w:iCs/>
          <w:sz w:val="20"/>
          <w:szCs w:val="20"/>
        </w:rPr>
        <w:t xml:space="preserve">If the patient is a minor, a parent or legal guardian must also read, sign, and date this form.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left w:val="none"/>
              <w:bottom w:val="none"/>
              <w:right w:val="none"/>
            </w:tcBorders>
            <w:tcMar>
              <w:top w:type="dxa" w:w="280"/>
              <w:left w:type="dxa" w:w="0"/>
              <w:bottom w:type="dxa" w:w="0"/>
              <w:right w:type="dxa" w:w="0"/>
            </w:tcMar>
          </w:tcPr>
          <w:p>
            <w:pPr>
              <w:pBdr>
                <w:top w:val="single" w:color="595959" w:sz="4" w:space="4"/>
              </w:pBdr>
            </w:pPr>
            <w:r>
              <w:rPr>
                <w:color w:val="595959"/>
                <w:sz w:val="20"/>
                <w:szCs w:val="20"/>
              </w:rPr>
              <w:t xml:space="preserve">Parent / Guardian Signature</w:t>
            </w:r>
          </w:p>
        </w:tc>
        <w:tc>
          <w:tcPr>
            <w:tcW w:type="dxa" w:w="4680"/>
            <w:tcBorders>
              <w:top w:val="none"/>
              <w:left w:val="none"/>
              <w:bottom w:val="none"/>
              <w:right w:val="none"/>
            </w:tcBorders>
            <w:tcMar>
              <w:top w:type="dxa" w:w="280"/>
              <w:left w:type="dxa" w:w="0"/>
              <w:bottom w:type="dxa" w:w="0"/>
              <w:right w:type="dxa" w:w="0"/>
            </w:tcMar>
          </w:tcPr>
          <w:p>
            <w:pPr>
              <w:pBdr>
                <w:top w:val="single" w:color="595959" w:sz="4" w:space="4"/>
              </w:pBdr>
            </w:pPr>
            <w:r>
              <w:rPr>
                <w:color w:val="595959"/>
                <w:sz w:val="20"/>
                <w:szCs w:val="20"/>
              </w:rPr>
              <w:t xml:space="preserve">Date</w:t>
            </w:r>
          </w:p>
        </w:tc>
      </w:tr>
    </w:tbl>
    <w:sectPr>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27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2626"/>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80" w:before="0"/>
      <w:outlineLvl w:val="0"/>
    </w:pPr>
    <w:rPr>
      <w:rFonts w:ascii="Arial" w:cs="Arial" w:eastAsia="Arial" w:hAnsi="Arial"/>
      <w:b/>
      <w:bCs/>
      <w:color w:val="1F3B57"/>
      <w:sz w:val="36"/>
      <w:szCs w:val="36"/>
    </w:rPr>
  </w:style>
  <w:style w:type="paragraph" w:styleId="Heading2">
    <w:name w:val="Heading 2"/>
    <w:basedOn w:val="Normal"/>
    <w:next w:val="Normal"/>
    <w:qFormat/>
    <w:pPr>
      <w:pBdr>
        <w:bottom w:val="single" w:color="1F3B57" w:sz="4" w:space="2"/>
      </w:pBdr>
      <w:spacing w:after="140" w:before="300"/>
      <w:outlineLvl w:val="1"/>
    </w:pPr>
    <w:rPr>
      <w:rFonts w:ascii="Arial" w:cs="Arial" w:eastAsia="Arial" w:hAnsi="Arial"/>
      <w:b/>
      <w:bCs/>
      <w:color w:val="1F3B57"/>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2026-06-29T14:42:20.259Z</dcterms:created>
  <dcterms:modified xsi:type="dcterms:W3CDTF">2026-06-29T14:42:20.259Z</dcterms:modified>
</cp:coreProperties>
</file>

<file path=docProps/custom.xml><?xml version="1.0" encoding="utf-8"?>
<Properties xmlns="http://schemas.openxmlformats.org/officeDocument/2006/custom-properties" xmlns:vt="http://schemas.openxmlformats.org/officeDocument/2006/docPropsVTypes"/>
</file>